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67" w:type="dxa"/>
        <w:tblLook w:val="04A0" w:firstRow="1" w:lastRow="0" w:firstColumn="1" w:lastColumn="0" w:noHBand="0" w:noVBand="1"/>
      </w:tblPr>
      <w:tblGrid>
        <w:gridCol w:w="3978"/>
        <w:gridCol w:w="3977"/>
      </w:tblGrid>
      <w:tr w:rsidR="006E2079" w:rsidRPr="00106AC1" w:rsidTr="00AC5119">
        <w:trPr>
          <w:trHeight w:val="2457"/>
        </w:trPr>
        <w:tc>
          <w:tcPr>
            <w:tcW w:w="3978"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59264" behindDoc="0" locked="0" layoutInCell="1" allowOverlap="1">
                  <wp:simplePos x="0" y="0"/>
                  <wp:positionH relativeFrom="column">
                    <wp:posOffset>635</wp:posOffset>
                  </wp:positionH>
                  <wp:positionV relativeFrom="paragraph">
                    <wp:posOffset>7620</wp:posOffset>
                  </wp:positionV>
                  <wp:extent cx="2457450" cy="1543050"/>
                  <wp:effectExtent l="0" t="0" r="1905" b="635"/>
                  <wp:wrapNone/>
                  <wp:docPr id="8" name="Grafikon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tc>
        <w:tc>
          <w:tcPr>
            <w:tcW w:w="3977"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0288" behindDoc="0" locked="0" layoutInCell="1" allowOverlap="1">
                  <wp:simplePos x="0" y="0"/>
                  <wp:positionH relativeFrom="column">
                    <wp:posOffset>-1270</wp:posOffset>
                  </wp:positionH>
                  <wp:positionV relativeFrom="paragraph">
                    <wp:posOffset>7620</wp:posOffset>
                  </wp:positionV>
                  <wp:extent cx="2457450" cy="1543050"/>
                  <wp:effectExtent l="0" t="0" r="1905" b="635"/>
                  <wp:wrapNone/>
                  <wp:docPr id="7" name="Grafikon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tc>
      </w:tr>
      <w:tr w:rsidR="006E2079" w:rsidRPr="00106AC1" w:rsidTr="00AC5119">
        <w:trPr>
          <w:trHeight w:val="2549"/>
        </w:trPr>
        <w:tc>
          <w:tcPr>
            <w:tcW w:w="3978"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1312" behindDoc="0" locked="0" layoutInCell="1" allowOverlap="1">
                  <wp:simplePos x="0" y="0"/>
                  <wp:positionH relativeFrom="column">
                    <wp:posOffset>635</wp:posOffset>
                  </wp:positionH>
                  <wp:positionV relativeFrom="paragraph">
                    <wp:posOffset>3175</wp:posOffset>
                  </wp:positionV>
                  <wp:extent cx="2457450" cy="1543050"/>
                  <wp:effectExtent l="0" t="2540" r="1905" b="0"/>
                  <wp:wrapNone/>
                  <wp:docPr id="6" name="Grafikon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tc>
        <w:tc>
          <w:tcPr>
            <w:tcW w:w="3977"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2336" behindDoc="0" locked="0" layoutInCell="1" allowOverlap="1">
                  <wp:simplePos x="0" y="0"/>
                  <wp:positionH relativeFrom="column">
                    <wp:posOffset>-1270</wp:posOffset>
                  </wp:positionH>
                  <wp:positionV relativeFrom="paragraph">
                    <wp:posOffset>3175</wp:posOffset>
                  </wp:positionV>
                  <wp:extent cx="2457450" cy="1543050"/>
                  <wp:effectExtent l="0" t="2540" r="1905" b="0"/>
                  <wp:wrapNone/>
                  <wp:docPr id="5" name="Grafikon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tc>
      </w:tr>
      <w:tr w:rsidR="006E2079" w:rsidRPr="00106AC1" w:rsidTr="00AC5119">
        <w:trPr>
          <w:trHeight w:val="2387"/>
        </w:trPr>
        <w:tc>
          <w:tcPr>
            <w:tcW w:w="3978"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5408" behindDoc="0" locked="0" layoutInCell="1" allowOverlap="1">
                  <wp:simplePos x="0" y="0"/>
                  <wp:positionH relativeFrom="column">
                    <wp:posOffset>-1270</wp:posOffset>
                  </wp:positionH>
                  <wp:positionV relativeFrom="paragraph">
                    <wp:posOffset>5715</wp:posOffset>
                  </wp:positionV>
                  <wp:extent cx="2457450" cy="1543050"/>
                  <wp:effectExtent l="0" t="4445" r="3810" b="0"/>
                  <wp:wrapNone/>
                  <wp:docPr id="4" name="Grafikon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tc>
        <w:tc>
          <w:tcPr>
            <w:tcW w:w="3977"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4384" behindDoc="0" locked="0" layoutInCell="1" allowOverlap="1">
                  <wp:simplePos x="0" y="0"/>
                  <wp:positionH relativeFrom="column">
                    <wp:posOffset>-2540</wp:posOffset>
                  </wp:positionH>
                  <wp:positionV relativeFrom="paragraph">
                    <wp:posOffset>5715</wp:posOffset>
                  </wp:positionV>
                  <wp:extent cx="2457450" cy="1543050"/>
                  <wp:effectExtent l="0" t="4445" r="3175" b="0"/>
                  <wp:wrapNone/>
                  <wp:docPr id="3" name="Grafikon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tc>
      </w:tr>
      <w:tr w:rsidR="006E2079" w:rsidRPr="00106AC1" w:rsidTr="00AC5119">
        <w:trPr>
          <w:trHeight w:val="2535"/>
        </w:trPr>
        <w:tc>
          <w:tcPr>
            <w:tcW w:w="3978"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6432" behindDoc="0" locked="0" layoutInCell="1" allowOverlap="1">
                  <wp:simplePos x="0" y="0"/>
                  <wp:positionH relativeFrom="column">
                    <wp:posOffset>-1270</wp:posOffset>
                  </wp:positionH>
                  <wp:positionV relativeFrom="paragraph">
                    <wp:posOffset>80010</wp:posOffset>
                  </wp:positionV>
                  <wp:extent cx="2455545" cy="1543050"/>
                  <wp:effectExtent l="0" t="3810" r="5715" b="0"/>
                  <wp:wrapNone/>
                  <wp:docPr id="2" name="Grafikon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p w:rsidR="006E2079" w:rsidRPr="00526070" w:rsidRDefault="006E2079" w:rsidP="00AC5119">
            <w:pPr>
              <w:spacing w:line="360" w:lineRule="auto"/>
              <w:ind w:right="-58"/>
              <w:rPr>
                <w:rFonts w:ascii="Calibri" w:eastAsia="Calibri" w:hAnsi="Calibri" w:cs="Arial"/>
                <w:sz w:val="22"/>
                <w:szCs w:val="22"/>
                <w:lang w:val="en-US"/>
              </w:rPr>
            </w:pPr>
          </w:p>
        </w:tc>
        <w:tc>
          <w:tcPr>
            <w:tcW w:w="3977" w:type="dxa"/>
            <w:shd w:val="clear" w:color="auto" w:fill="auto"/>
          </w:tcPr>
          <w:p w:rsidR="006E2079" w:rsidRPr="00526070" w:rsidRDefault="006E2079" w:rsidP="00AC5119">
            <w:pPr>
              <w:spacing w:line="360" w:lineRule="auto"/>
              <w:ind w:right="-58"/>
              <w:rPr>
                <w:rFonts w:ascii="Calibri" w:eastAsia="Calibri" w:hAnsi="Calibri" w:cs="Arial"/>
                <w:sz w:val="22"/>
                <w:szCs w:val="22"/>
                <w:lang w:val="en-US"/>
              </w:rPr>
            </w:pPr>
            <w:r w:rsidRPr="00526070">
              <w:rPr>
                <w:rFonts w:ascii="Calibri" w:eastAsia="Calibri" w:hAnsi="Calibri" w:cs="Arial"/>
                <w:noProof/>
                <w:sz w:val="22"/>
                <w:szCs w:val="22"/>
              </w:rPr>
              <w:drawing>
                <wp:anchor distT="0" distB="0" distL="114300" distR="114300" simplePos="0" relativeHeight="251663360" behindDoc="0" locked="0" layoutInCell="1" allowOverlap="1">
                  <wp:simplePos x="0" y="0"/>
                  <wp:positionH relativeFrom="column">
                    <wp:posOffset>-1270</wp:posOffset>
                  </wp:positionH>
                  <wp:positionV relativeFrom="paragraph">
                    <wp:posOffset>102870</wp:posOffset>
                  </wp:positionV>
                  <wp:extent cx="2457450" cy="1543050"/>
                  <wp:effectExtent l="0" t="0" r="1905" b="1905"/>
                  <wp:wrapNone/>
                  <wp:docPr id="1" name="Grafikon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r>
    </w:tbl>
    <w:p w:rsidR="00B74765" w:rsidRDefault="00B74765"/>
    <w:p w:rsidR="006E2079" w:rsidRDefault="006E2079" w:rsidP="006E2079">
      <w:pPr>
        <w:ind w:left="425" w:firstLine="1"/>
        <w:jc w:val="both"/>
        <w:rPr>
          <w:color w:val="5B9BD5" w:themeColor="accent1"/>
          <w:lang w:val="en-US"/>
        </w:rPr>
      </w:pPr>
      <w:r>
        <w:rPr>
          <w:i/>
          <w:szCs w:val="22"/>
          <w:lang w:val="en-US"/>
        </w:rPr>
        <w:t>Figure 1</w:t>
      </w:r>
      <w:r w:rsidRPr="00D862B7">
        <w:rPr>
          <w:i/>
          <w:szCs w:val="22"/>
          <w:lang w:val="en-US"/>
        </w:rPr>
        <w:t>.</w:t>
      </w:r>
      <w:r w:rsidRPr="00B7558E">
        <w:rPr>
          <w:szCs w:val="22"/>
          <w:lang w:val="en-US"/>
        </w:rPr>
        <w:t xml:space="preserve"> </w:t>
      </w:r>
      <w:r w:rsidRPr="00116354">
        <w:rPr>
          <w:i/>
          <w:color w:val="5B9BD5" w:themeColor="accent1"/>
          <w:szCs w:val="22"/>
          <w:lang w:val="en-US"/>
        </w:rPr>
        <w:t>(</w:t>
      </w:r>
      <w:r w:rsidRPr="00116354">
        <w:rPr>
          <w:i/>
          <w:color w:val="5B9BD5" w:themeColor="accent1"/>
          <w:lang w:val="en-US"/>
        </w:rPr>
        <w:t>12-point Times New Roman</w:t>
      </w:r>
      <w:r w:rsidRPr="00116354">
        <w:rPr>
          <w:i/>
          <w:color w:val="5B9BD5" w:themeColor="accent1"/>
          <w:lang w:val="en-US"/>
        </w:rPr>
        <w:t>, italic</w:t>
      </w:r>
      <w:r w:rsidRPr="00116354">
        <w:rPr>
          <w:i/>
          <w:color w:val="5B9BD5" w:themeColor="accent1"/>
          <w:lang w:val="en-US"/>
        </w:rPr>
        <w:t>)</w:t>
      </w:r>
      <w:r w:rsidRPr="00116354">
        <w:rPr>
          <w:i/>
          <w:color w:val="5B9BD5" w:themeColor="accent1"/>
          <w:lang w:val="en-US"/>
        </w:rPr>
        <w:t>.</w:t>
      </w:r>
      <w:r w:rsidRPr="006E2079">
        <w:rPr>
          <w:color w:val="5B9BD5" w:themeColor="accent1"/>
          <w:lang w:val="en-US"/>
        </w:rPr>
        <w:t xml:space="preserve"> </w:t>
      </w:r>
      <w:r>
        <w:rPr>
          <w:szCs w:val="22"/>
          <w:lang w:val="en-US"/>
        </w:rPr>
        <w:t xml:space="preserve">Force extension mean values </w:t>
      </w:r>
      <w:r>
        <w:rPr>
          <w:szCs w:val="22"/>
          <w:lang w:val="en-GB"/>
        </w:rPr>
        <w:t>of different joints</w:t>
      </w:r>
      <w:r>
        <w:rPr>
          <w:szCs w:val="22"/>
          <w:lang w:val="en-US"/>
        </w:rPr>
        <w:t xml:space="preserve"> for</w:t>
      </w:r>
      <w:r>
        <w:rPr>
          <w:szCs w:val="22"/>
          <w:lang w:val="en-GB"/>
        </w:rPr>
        <w:t xml:space="preserve"> the gymnasts (continuous lines) and non-gymnasts (dotted lines) groups at the two assessments. Statistically significant differences at the 0.05 level between the two groups at each assessment are denoted by asterisks. Statistically significant differences at the 0.05 level between the two assessments for each group are denoted by arrows.</w:t>
      </w:r>
      <w:r w:rsidR="00116354">
        <w:rPr>
          <w:szCs w:val="22"/>
          <w:lang w:val="en-GB"/>
        </w:rPr>
        <w:t xml:space="preserve"> </w:t>
      </w:r>
      <w:r w:rsidR="00116354">
        <w:rPr>
          <w:color w:val="5B9BD5" w:themeColor="accent1"/>
          <w:sz w:val="22"/>
          <w:szCs w:val="22"/>
          <w:lang w:val="en-US"/>
        </w:rPr>
        <w:t>(12</w:t>
      </w:r>
      <w:r w:rsidR="00116354" w:rsidRPr="00921BD7">
        <w:rPr>
          <w:color w:val="5B9BD5" w:themeColor="accent1"/>
          <w:sz w:val="22"/>
          <w:szCs w:val="22"/>
          <w:lang w:val="en-US"/>
        </w:rPr>
        <w:t>-point Times New Roman</w:t>
      </w:r>
      <w:r w:rsidR="00116354">
        <w:rPr>
          <w:color w:val="5B9BD5" w:themeColor="accent1"/>
          <w:sz w:val="22"/>
          <w:szCs w:val="22"/>
          <w:lang w:val="en-US"/>
        </w:rPr>
        <w:t xml:space="preserve">, </w:t>
      </w:r>
      <w:r w:rsidR="00116354" w:rsidRPr="00921BD7">
        <w:rPr>
          <w:color w:val="5B9BD5" w:themeColor="accent1"/>
          <w:lang w:val="en-US"/>
        </w:rPr>
        <w:t>normal, plain font</w:t>
      </w:r>
      <w:r w:rsidR="00116354">
        <w:rPr>
          <w:color w:val="5B9BD5" w:themeColor="accent1"/>
          <w:lang w:val="en-US"/>
        </w:rPr>
        <w:t>)</w:t>
      </w:r>
    </w:p>
    <w:p w:rsidR="00116354" w:rsidRDefault="00116354" w:rsidP="006E2079">
      <w:pPr>
        <w:ind w:left="425" w:firstLine="1"/>
        <w:jc w:val="both"/>
        <w:rPr>
          <w:szCs w:val="22"/>
          <w:lang w:val="en-GB"/>
        </w:rPr>
      </w:pPr>
    </w:p>
    <w:p w:rsidR="00116354" w:rsidRDefault="00116354" w:rsidP="006E2079">
      <w:pPr>
        <w:ind w:left="425" w:firstLine="1"/>
        <w:jc w:val="both"/>
        <w:rPr>
          <w:szCs w:val="22"/>
          <w:lang w:val="en-GB"/>
        </w:rPr>
      </w:pPr>
    </w:p>
    <w:p w:rsidR="00116354" w:rsidRPr="006426F4" w:rsidRDefault="00116354" w:rsidP="00116354">
      <w:pPr>
        <w:ind w:firstLine="720"/>
        <w:jc w:val="both"/>
        <w:rPr>
          <w:lang w:val="en-US"/>
        </w:rPr>
      </w:pPr>
    </w:p>
    <w:p w:rsidR="00116354" w:rsidRPr="006426F4" w:rsidRDefault="00116354" w:rsidP="00116354">
      <w:pPr>
        <w:jc w:val="center"/>
        <w:rPr>
          <w:bCs/>
          <w:lang w:val="en-US"/>
        </w:rPr>
      </w:pPr>
      <w:r w:rsidRPr="00847BE1">
        <w:rPr>
          <w:b/>
          <w:bCs/>
          <w:i/>
          <w:iCs/>
          <w:noProof/>
        </w:rPr>
        <w:lastRenderedPageBreak/>
        <w:drawing>
          <wp:inline distT="0" distB="0" distL="0" distR="0">
            <wp:extent cx="2647950" cy="4438650"/>
            <wp:effectExtent l="0" t="0" r="0" b="0"/>
            <wp:docPr id="9" name="Slika 9" descr="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_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4438650"/>
                    </a:xfrm>
                    <a:prstGeom prst="rect">
                      <a:avLst/>
                    </a:prstGeom>
                    <a:noFill/>
                    <a:ln>
                      <a:noFill/>
                    </a:ln>
                  </pic:spPr>
                </pic:pic>
              </a:graphicData>
            </a:graphic>
          </wp:inline>
        </w:drawing>
      </w:r>
    </w:p>
    <w:p w:rsidR="00116354" w:rsidRPr="00E43189" w:rsidRDefault="00116354" w:rsidP="00116354">
      <w:pPr>
        <w:jc w:val="center"/>
        <w:rPr>
          <w:lang w:val="en-US"/>
        </w:rPr>
      </w:pPr>
      <w:r>
        <w:rPr>
          <w:i/>
          <w:lang w:val="en-US"/>
        </w:rPr>
        <w:t>Figure 2</w:t>
      </w:r>
      <w:r w:rsidRPr="00E43189">
        <w:rPr>
          <w:i/>
          <w:lang w:val="en-US"/>
        </w:rPr>
        <w:t>.</w:t>
      </w:r>
      <w:r w:rsidRPr="006426F4">
        <w:rPr>
          <w:lang w:val="en-US"/>
        </w:rPr>
        <w:t xml:space="preserve"> </w:t>
      </w:r>
      <w:r w:rsidRPr="00E43189">
        <w:rPr>
          <w:iCs/>
          <w:lang w:val="en-US"/>
        </w:rPr>
        <w:t>Marker placement on gymnast body.</w:t>
      </w:r>
    </w:p>
    <w:p w:rsidR="00116354" w:rsidRDefault="00116354" w:rsidP="00116354">
      <w:pPr>
        <w:jc w:val="both"/>
        <w:rPr>
          <w:bCs/>
          <w:i/>
          <w:lang w:val="en-US"/>
        </w:rPr>
      </w:pPr>
    </w:p>
    <w:p w:rsidR="00116354" w:rsidRDefault="00116354" w:rsidP="00116354">
      <w:pPr>
        <w:jc w:val="both"/>
        <w:rPr>
          <w:bCs/>
          <w:i/>
          <w:lang w:val="en-US"/>
        </w:rPr>
      </w:pPr>
    </w:p>
    <w:p w:rsidR="00116354" w:rsidRDefault="00116354" w:rsidP="00116354">
      <w:pPr>
        <w:jc w:val="both"/>
        <w:rPr>
          <w:bCs/>
          <w:i/>
          <w:lang w:val="en-US"/>
        </w:rPr>
      </w:pPr>
    </w:p>
    <w:p w:rsidR="00116354" w:rsidRDefault="00116354" w:rsidP="00116354">
      <w:pPr>
        <w:jc w:val="center"/>
        <w:rPr>
          <w:rFonts w:eastAsia="Calibri"/>
          <w:lang w:val="en-US"/>
        </w:rPr>
      </w:pPr>
    </w:p>
    <w:p w:rsidR="00116354" w:rsidRPr="006426F4" w:rsidRDefault="00116354" w:rsidP="00116354">
      <w:pPr>
        <w:jc w:val="center"/>
        <w:rPr>
          <w:rFonts w:eastAsia="Calibri"/>
          <w:lang w:val="en-US"/>
        </w:rPr>
      </w:pPr>
      <w:r w:rsidRPr="00847BE1">
        <w:rPr>
          <w:rFonts w:eastAsia="Calibri"/>
          <w:noProof/>
        </w:rPr>
        <w:drawing>
          <wp:inline distT="0" distB="0" distL="0" distR="0">
            <wp:extent cx="5760720" cy="2103120"/>
            <wp:effectExtent l="0" t="0" r="0" b="0"/>
            <wp:docPr id="10" name="Slika 10" descr="Figur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igure_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103120"/>
                    </a:xfrm>
                    <a:prstGeom prst="rect">
                      <a:avLst/>
                    </a:prstGeom>
                    <a:noFill/>
                    <a:ln>
                      <a:noFill/>
                    </a:ln>
                  </pic:spPr>
                </pic:pic>
              </a:graphicData>
            </a:graphic>
          </wp:inline>
        </w:drawing>
      </w:r>
    </w:p>
    <w:p w:rsidR="00116354" w:rsidRDefault="00116354" w:rsidP="00116354">
      <w:pPr>
        <w:ind w:firstLine="708"/>
        <w:jc w:val="both"/>
        <w:rPr>
          <w:rFonts w:eastAsia="Calibri"/>
          <w:lang w:val="en-US"/>
        </w:rPr>
      </w:pPr>
    </w:p>
    <w:p w:rsidR="00116354" w:rsidRPr="006426F4" w:rsidRDefault="00116354" w:rsidP="00116354">
      <w:pPr>
        <w:jc w:val="both"/>
        <w:rPr>
          <w:rFonts w:eastAsia="Calibri"/>
          <w:lang w:val="en-US"/>
        </w:rPr>
      </w:pPr>
      <w:r>
        <w:rPr>
          <w:rFonts w:eastAsia="Calibri"/>
          <w:i/>
          <w:lang w:val="en-US"/>
        </w:rPr>
        <w:t>Figure 3</w:t>
      </w:r>
      <w:r w:rsidRPr="00E43189">
        <w:rPr>
          <w:rFonts w:eastAsia="Calibri"/>
          <w:i/>
          <w:lang w:val="en-US"/>
        </w:rPr>
        <w:t>.</w:t>
      </w:r>
      <w:r w:rsidRPr="006426F4">
        <w:rPr>
          <w:rFonts w:eastAsia="Calibri"/>
          <w:lang w:val="en-US"/>
        </w:rPr>
        <w:t xml:space="preserve"> Elbow joint internal adduction moment of force profiles of the second contact hand in parallel (blue), T-shape (red) and reverse (green) techniques. </w:t>
      </w:r>
      <w:bookmarkStart w:id="0" w:name="_GoBack"/>
      <w:bookmarkEnd w:id="0"/>
    </w:p>
    <w:p w:rsidR="00116354" w:rsidRDefault="00116354" w:rsidP="00116354">
      <w:pPr>
        <w:ind w:firstLine="708"/>
        <w:jc w:val="both"/>
        <w:rPr>
          <w:rFonts w:eastAsia="Calibri"/>
          <w:lang w:val="en-US"/>
        </w:rPr>
      </w:pPr>
    </w:p>
    <w:p w:rsidR="00116354" w:rsidRDefault="00116354" w:rsidP="00116354">
      <w:pPr>
        <w:ind w:firstLine="708"/>
        <w:jc w:val="both"/>
        <w:rPr>
          <w:rFonts w:eastAsia="Calibri"/>
          <w:lang w:val="en-US"/>
        </w:rPr>
      </w:pPr>
    </w:p>
    <w:p w:rsidR="00116354" w:rsidRDefault="00116354" w:rsidP="00116354">
      <w:pPr>
        <w:jc w:val="both"/>
        <w:rPr>
          <w:bCs/>
          <w:i/>
          <w:lang w:val="en-US"/>
        </w:rPr>
      </w:pPr>
    </w:p>
    <w:p w:rsidR="00116354" w:rsidRDefault="00116354" w:rsidP="006E2079">
      <w:pPr>
        <w:ind w:left="425" w:firstLine="1"/>
        <w:jc w:val="both"/>
        <w:rPr>
          <w:szCs w:val="22"/>
          <w:lang w:val="en-GB"/>
        </w:rPr>
      </w:pPr>
    </w:p>
    <w:p w:rsidR="006E2079" w:rsidRDefault="006E2079"/>
    <w:sectPr w:rsidR="006E2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51"/>
    <w:rsid w:val="00000C94"/>
    <w:rsid w:val="000011AC"/>
    <w:rsid w:val="0000279A"/>
    <w:rsid w:val="00003D95"/>
    <w:rsid w:val="00003DFF"/>
    <w:rsid w:val="000059B8"/>
    <w:rsid w:val="0001330B"/>
    <w:rsid w:val="00013C43"/>
    <w:rsid w:val="000140CF"/>
    <w:rsid w:val="00025CE8"/>
    <w:rsid w:val="00030E21"/>
    <w:rsid w:val="0003442C"/>
    <w:rsid w:val="00035D8C"/>
    <w:rsid w:val="00040043"/>
    <w:rsid w:val="00044DBB"/>
    <w:rsid w:val="00047546"/>
    <w:rsid w:val="00050B26"/>
    <w:rsid w:val="000511B2"/>
    <w:rsid w:val="00055CC5"/>
    <w:rsid w:val="00060028"/>
    <w:rsid w:val="000646A8"/>
    <w:rsid w:val="000650FE"/>
    <w:rsid w:val="00066BC0"/>
    <w:rsid w:val="000676FB"/>
    <w:rsid w:val="00071195"/>
    <w:rsid w:val="000757F7"/>
    <w:rsid w:val="0007601C"/>
    <w:rsid w:val="0007604B"/>
    <w:rsid w:val="00080F27"/>
    <w:rsid w:val="00081E06"/>
    <w:rsid w:val="00082D8B"/>
    <w:rsid w:val="00083848"/>
    <w:rsid w:val="000840F4"/>
    <w:rsid w:val="000842B8"/>
    <w:rsid w:val="0008792B"/>
    <w:rsid w:val="00091428"/>
    <w:rsid w:val="000A10C5"/>
    <w:rsid w:val="000A20F2"/>
    <w:rsid w:val="000A7994"/>
    <w:rsid w:val="000B28C9"/>
    <w:rsid w:val="000B359A"/>
    <w:rsid w:val="000B4F1B"/>
    <w:rsid w:val="000B5E06"/>
    <w:rsid w:val="000C01D0"/>
    <w:rsid w:val="000C06D0"/>
    <w:rsid w:val="000C3554"/>
    <w:rsid w:val="000C3AB3"/>
    <w:rsid w:val="000D2D7B"/>
    <w:rsid w:val="000D2E0C"/>
    <w:rsid w:val="000D4E0F"/>
    <w:rsid w:val="000D5770"/>
    <w:rsid w:val="000D7920"/>
    <w:rsid w:val="000E4F05"/>
    <w:rsid w:val="000E60DE"/>
    <w:rsid w:val="000E6657"/>
    <w:rsid w:val="000F41FA"/>
    <w:rsid w:val="001007CB"/>
    <w:rsid w:val="00101F59"/>
    <w:rsid w:val="001031F6"/>
    <w:rsid w:val="0011192C"/>
    <w:rsid w:val="00112789"/>
    <w:rsid w:val="001136DC"/>
    <w:rsid w:val="001144FE"/>
    <w:rsid w:val="00116354"/>
    <w:rsid w:val="00116DDE"/>
    <w:rsid w:val="001207E8"/>
    <w:rsid w:val="00121426"/>
    <w:rsid w:val="001274EE"/>
    <w:rsid w:val="001278DD"/>
    <w:rsid w:val="001312E1"/>
    <w:rsid w:val="00133211"/>
    <w:rsid w:val="00134D2E"/>
    <w:rsid w:val="001359AD"/>
    <w:rsid w:val="00140EC8"/>
    <w:rsid w:val="0014300E"/>
    <w:rsid w:val="00143F2D"/>
    <w:rsid w:val="00144B30"/>
    <w:rsid w:val="00147901"/>
    <w:rsid w:val="00147FD0"/>
    <w:rsid w:val="00150993"/>
    <w:rsid w:val="00151382"/>
    <w:rsid w:val="00151BC6"/>
    <w:rsid w:val="0015425F"/>
    <w:rsid w:val="0015436F"/>
    <w:rsid w:val="00155BC0"/>
    <w:rsid w:val="001561D3"/>
    <w:rsid w:val="00164908"/>
    <w:rsid w:val="00165B38"/>
    <w:rsid w:val="00170511"/>
    <w:rsid w:val="00171E47"/>
    <w:rsid w:val="00173412"/>
    <w:rsid w:val="00174413"/>
    <w:rsid w:val="001750C9"/>
    <w:rsid w:val="001779F5"/>
    <w:rsid w:val="001823EC"/>
    <w:rsid w:val="00182AE4"/>
    <w:rsid w:val="001830B9"/>
    <w:rsid w:val="0018700F"/>
    <w:rsid w:val="0019525D"/>
    <w:rsid w:val="00195B60"/>
    <w:rsid w:val="001A1EB1"/>
    <w:rsid w:val="001A35D3"/>
    <w:rsid w:val="001A63CE"/>
    <w:rsid w:val="001A6903"/>
    <w:rsid w:val="001B2CD9"/>
    <w:rsid w:val="001B326A"/>
    <w:rsid w:val="001B6408"/>
    <w:rsid w:val="001B6436"/>
    <w:rsid w:val="001B6844"/>
    <w:rsid w:val="001B6BDA"/>
    <w:rsid w:val="001C1C06"/>
    <w:rsid w:val="001C1CC0"/>
    <w:rsid w:val="001C2B39"/>
    <w:rsid w:val="001C5A7D"/>
    <w:rsid w:val="001C768E"/>
    <w:rsid w:val="001C7B3C"/>
    <w:rsid w:val="001D2384"/>
    <w:rsid w:val="001D4A58"/>
    <w:rsid w:val="001D545E"/>
    <w:rsid w:val="001D64AD"/>
    <w:rsid w:val="001D6D2B"/>
    <w:rsid w:val="001D7D07"/>
    <w:rsid w:val="001E113D"/>
    <w:rsid w:val="001E205E"/>
    <w:rsid w:val="001E3696"/>
    <w:rsid w:val="001E6FEF"/>
    <w:rsid w:val="001F10DC"/>
    <w:rsid w:val="001F11B8"/>
    <w:rsid w:val="001F2290"/>
    <w:rsid w:val="0020000E"/>
    <w:rsid w:val="002018ED"/>
    <w:rsid w:val="00211E77"/>
    <w:rsid w:val="00212A5C"/>
    <w:rsid w:val="00212AB0"/>
    <w:rsid w:val="00213397"/>
    <w:rsid w:val="00216476"/>
    <w:rsid w:val="00217382"/>
    <w:rsid w:val="00221524"/>
    <w:rsid w:val="00222761"/>
    <w:rsid w:val="00225296"/>
    <w:rsid w:val="00225B37"/>
    <w:rsid w:val="00230211"/>
    <w:rsid w:val="00241BC1"/>
    <w:rsid w:val="0024588B"/>
    <w:rsid w:val="00247790"/>
    <w:rsid w:val="00247E35"/>
    <w:rsid w:val="00252314"/>
    <w:rsid w:val="002550B4"/>
    <w:rsid w:val="0026074B"/>
    <w:rsid w:val="00261610"/>
    <w:rsid w:val="00261AB9"/>
    <w:rsid w:val="002661DF"/>
    <w:rsid w:val="00273C5C"/>
    <w:rsid w:val="00274564"/>
    <w:rsid w:val="00276027"/>
    <w:rsid w:val="0027748B"/>
    <w:rsid w:val="002802B4"/>
    <w:rsid w:val="0028144B"/>
    <w:rsid w:val="00281452"/>
    <w:rsid w:val="00282F6C"/>
    <w:rsid w:val="002849DC"/>
    <w:rsid w:val="00287071"/>
    <w:rsid w:val="0029077D"/>
    <w:rsid w:val="00291E2A"/>
    <w:rsid w:val="00292BB2"/>
    <w:rsid w:val="002939F8"/>
    <w:rsid w:val="0029535F"/>
    <w:rsid w:val="00295A2A"/>
    <w:rsid w:val="00296E9C"/>
    <w:rsid w:val="0029709E"/>
    <w:rsid w:val="0029768E"/>
    <w:rsid w:val="002A17CF"/>
    <w:rsid w:val="002A1DC6"/>
    <w:rsid w:val="002A333A"/>
    <w:rsid w:val="002A557D"/>
    <w:rsid w:val="002A63FF"/>
    <w:rsid w:val="002A67DD"/>
    <w:rsid w:val="002B3325"/>
    <w:rsid w:val="002C0BEC"/>
    <w:rsid w:val="002C29F6"/>
    <w:rsid w:val="002D274E"/>
    <w:rsid w:val="002D2CA4"/>
    <w:rsid w:val="002D2D7D"/>
    <w:rsid w:val="002D59B8"/>
    <w:rsid w:val="002E1A54"/>
    <w:rsid w:val="002E38ED"/>
    <w:rsid w:val="002E67F3"/>
    <w:rsid w:val="002E6CB8"/>
    <w:rsid w:val="002F1014"/>
    <w:rsid w:val="002F15BB"/>
    <w:rsid w:val="002F2CE5"/>
    <w:rsid w:val="002F6121"/>
    <w:rsid w:val="002F6A77"/>
    <w:rsid w:val="002F6DB2"/>
    <w:rsid w:val="002F77E3"/>
    <w:rsid w:val="003011ED"/>
    <w:rsid w:val="003043F4"/>
    <w:rsid w:val="00306E14"/>
    <w:rsid w:val="00310F2F"/>
    <w:rsid w:val="0031559C"/>
    <w:rsid w:val="00315C05"/>
    <w:rsid w:val="00316C3C"/>
    <w:rsid w:val="00321F9A"/>
    <w:rsid w:val="00322A26"/>
    <w:rsid w:val="0032378E"/>
    <w:rsid w:val="00325C12"/>
    <w:rsid w:val="00326515"/>
    <w:rsid w:val="003278B7"/>
    <w:rsid w:val="00327955"/>
    <w:rsid w:val="003302EF"/>
    <w:rsid w:val="00330F11"/>
    <w:rsid w:val="0033116B"/>
    <w:rsid w:val="00333E0A"/>
    <w:rsid w:val="003411D4"/>
    <w:rsid w:val="00343F12"/>
    <w:rsid w:val="003453EC"/>
    <w:rsid w:val="00346ED0"/>
    <w:rsid w:val="003474A9"/>
    <w:rsid w:val="00351792"/>
    <w:rsid w:val="00351816"/>
    <w:rsid w:val="00352B3E"/>
    <w:rsid w:val="003549E9"/>
    <w:rsid w:val="00356225"/>
    <w:rsid w:val="00362183"/>
    <w:rsid w:val="00362929"/>
    <w:rsid w:val="0037302D"/>
    <w:rsid w:val="00373499"/>
    <w:rsid w:val="00376DE3"/>
    <w:rsid w:val="00380C11"/>
    <w:rsid w:val="003829B9"/>
    <w:rsid w:val="003838F1"/>
    <w:rsid w:val="00385BAD"/>
    <w:rsid w:val="003A07E0"/>
    <w:rsid w:val="003A147A"/>
    <w:rsid w:val="003A2B6E"/>
    <w:rsid w:val="003A3460"/>
    <w:rsid w:val="003A4ABF"/>
    <w:rsid w:val="003A5970"/>
    <w:rsid w:val="003A5EDA"/>
    <w:rsid w:val="003B0CBD"/>
    <w:rsid w:val="003B206F"/>
    <w:rsid w:val="003B338E"/>
    <w:rsid w:val="003B52A9"/>
    <w:rsid w:val="003C0105"/>
    <w:rsid w:val="003C1064"/>
    <w:rsid w:val="003C3453"/>
    <w:rsid w:val="003C66BD"/>
    <w:rsid w:val="003C6812"/>
    <w:rsid w:val="003C7040"/>
    <w:rsid w:val="003D0EFB"/>
    <w:rsid w:val="003D2336"/>
    <w:rsid w:val="003D2E2F"/>
    <w:rsid w:val="003D3E93"/>
    <w:rsid w:val="003E17BB"/>
    <w:rsid w:val="003E1CCB"/>
    <w:rsid w:val="003E5A29"/>
    <w:rsid w:val="003E7644"/>
    <w:rsid w:val="003F0AEC"/>
    <w:rsid w:val="003F43D8"/>
    <w:rsid w:val="003F5083"/>
    <w:rsid w:val="003F6EEF"/>
    <w:rsid w:val="003F7EC8"/>
    <w:rsid w:val="00403DE8"/>
    <w:rsid w:val="004062E4"/>
    <w:rsid w:val="004104FE"/>
    <w:rsid w:val="0041378F"/>
    <w:rsid w:val="00413C06"/>
    <w:rsid w:val="00414432"/>
    <w:rsid w:val="00415EC8"/>
    <w:rsid w:val="004161E9"/>
    <w:rsid w:val="004208B0"/>
    <w:rsid w:val="004302AE"/>
    <w:rsid w:val="00431A93"/>
    <w:rsid w:val="00434431"/>
    <w:rsid w:val="00436C5E"/>
    <w:rsid w:val="0043768E"/>
    <w:rsid w:val="00437F61"/>
    <w:rsid w:val="00443D27"/>
    <w:rsid w:val="00447451"/>
    <w:rsid w:val="004531E1"/>
    <w:rsid w:val="00460FDF"/>
    <w:rsid w:val="00461BBA"/>
    <w:rsid w:val="00462530"/>
    <w:rsid w:val="00462AF1"/>
    <w:rsid w:val="00466AAA"/>
    <w:rsid w:val="0047104F"/>
    <w:rsid w:val="00475D1E"/>
    <w:rsid w:val="00477D45"/>
    <w:rsid w:val="00480D96"/>
    <w:rsid w:val="004818B3"/>
    <w:rsid w:val="00481EC2"/>
    <w:rsid w:val="004854CA"/>
    <w:rsid w:val="00491368"/>
    <w:rsid w:val="0049463C"/>
    <w:rsid w:val="00496AA1"/>
    <w:rsid w:val="00496C0A"/>
    <w:rsid w:val="004A60F9"/>
    <w:rsid w:val="004A7A86"/>
    <w:rsid w:val="004B2C49"/>
    <w:rsid w:val="004B2E4E"/>
    <w:rsid w:val="004B369C"/>
    <w:rsid w:val="004B7F14"/>
    <w:rsid w:val="004C3695"/>
    <w:rsid w:val="004C6CFF"/>
    <w:rsid w:val="004C7253"/>
    <w:rsid w:val="004D07E6"/>
    <w:rsid w:val="004D7600"/>
    <w:rsid w:val="004E49DF"/>
    <w:rsid w:val="004F1390"/>
    <w:rsid w:val="004F2DCA"/>
    <w:rsid w:val="004F4A23"/>
    <w:rsid w:val="004F545E"/>
    <w:rsid w:val="00500052"/>
    <w:rsid w:val="0050007E"/>
    <w:rsid w:val="00500A88"/>
    <w:rsid w:val="00500DF1"/>
    <w:rsid w:val="00501E9D"/>
    <w:rsid w:val="00505439"/>
    <w:rsid w:val="00506ED0"/>
    <w:rsid w:val="00512826"/>
    <w:rsid w:val="00515365"/>
    <w:rsid w:val="00517431"/>
    <w:rsid w:val="00522E98"/>
    <w:rsid w:val="00525F45"/>
    <w:rsid w:val="005308B0"/>
    <w:rsid w:val="0053683E"/>
    <w:rsid w:val="005377BB"/>
    <w:rsid w:val="0054162E"/>
    <w:rsid w:val="00542A4B"/>
    <w:rsid w:val="005444B1"/>
    <w:rsid w:val="0055397D"/>
    <w:rsid w:val="0055556C"/>
    <w:rsid w:val="00555CCF"/>
    <w:rsid w:val="00556981"/>
    <w:rsid w:val="00560B87"/>
    <w:rsid w:val="005610F5"/>
    <w:rsid w:val="00571681"/>
    <w:rsid w:val="005801D0"/>
    <w:rsid w:val="00580DD7"/>
    <w:rsid w:val="0058161A"/>
    <w:rsid w:val="00582A37"/>
    <w:rsid w:val="00582E64"/>
    <w:rsid w:val="005847FD"/>
    <w:rsid w:val="00585C02"/>
    <w:rsid w:val="00590678"/>
    <w:rsid w:val="0059294B"/>
    <w:rsid w:val="0059449E"/>
    <w:rsid w:val="00595ADF"/>
    <w:rsid w:val="005A0C84"/>
    <w:rsid w:val="005A179E"/>
    <w:rsid w:val="005A2B4F"/>
    <w:rsid w:val="005A2E36"/>
    <w:rsid w:val="005A4594"/>
    <w:rsid w:val="005A6E93"/>
    <w:rsid w:val="005A75E4"/>
    <w:rsid w:val="005B2986"/>
    <w:rsid w:val="005B4D46"/>
    <w:rsid w:val="005B537E"/>
    <w:rsid w:val="005C0D25"/>
    <w:rsid w:val="005C232F"/>
    <w:rsid w:val="005C4DBD"/>
    <w:rsid w:val="005C5D37"/>
    <w:rsid w:val="005D36AF"/>
    <w:rsid w:val="005D4FF1"/>
    <w:rsid w:val="005E2A59"/>
    <w:rsid w:val="005E6403"/>
    <w:rsid w:val="005E7B8A"/>
    <w:rsid w:val="005F6278"/>
    <w:rsid w:val="005F629D"/>
    <w:rsid w:val="00601FF7"/>
    <w:rsid w:val="006107BE"/>
    <w:rsid w:val="00613888"/>
    <w:rsid w:val="00613D2A"/>
    <w:rsid w:val="0061465A"/>
    <w:rsid w:val="006149AE"/>
    <w:rsid w:val="00616287"/>
    <w:rsid w:val="00620CD6"/>
    <w:rsid w:val="00621C83"/>
    <w:rsid w:val="00625373"/>
    <w:rsid w:val="006275EB"/>
    <w:rsid w:val="006314EE"/>
    <w:rsid w:val="00631627"/>
    <w:rsid w:val="00633269"/>
    <w:rsid w:val="00633A35"/>
    <w:rsid w:val="00634C6E"/>
    <w:rsid w:val="00635FA7"/>
    <w:rsid w:val="00636823"/>
    <w:rsid w:val="006375E4"/>
    <w:rsid w:val="00645BBD"/>
    <w:rsid w:val="00653205"/>
    <w:rsid w:val="00655166"/>
    <w:rsid w:val="00655CAA"/>
    <w:rsid w:val="00656AC1"/>
    <w:rsid w:val="00660F31"/>
    <w:rsid w:val="006617E8"/>
    <w:rsid w:val="0066266E"/>
    <w:rsid w:val="00662E42"/>
    <w:rsid w:val="00670B90"/>
    <w:rsid w:val="0067368B"/>
    <w:rsid w:val="00675170"/>
    <w:rsid w:val="0067785C"/>
    <w:rsid w:val="00680641"/>
    <w:rsid w:val="00682C14"/>
    <w:rsid w:val="0068371D"/>
    <w:rsid w:val="006879E3"/>
    <w:rsid w:val="00691804"/>
    <w:rsid w:val="00694C14"/>
    <w:rsid w:val="006A0C22"/>
    <w:rsid w:val="006A21CC"/>
    <w:rsid w:val="006A278B"/>
    <w:rsid w:val="006A2D30"/>
    <w:rsid w:val="006A3B61"/>
    <w:rsid w:val="006A4C4B"/>
    <w:rsid w:val="006A55B3"/>
    <w:rsid w:val="006A6921"/>
    <w:rsid w:val="006B0DA0"/>
    <w:rsid w:val="006B13F3"/>
    <w:rsid w:val="006B3397"/>
    <w:rsid w:val="006B7F54"/>
    <w:rsid w:val="006C1E53"/>
    <w:rsid w:val="006C2E8D"/>
    <w:rsid w:val="006C34DC"/>
    <w:rsid w:val="006D0529"/>
    <w:rsid w:val="006D2324"/>
    <w:rsid w:val="006D2A07"/>
    <w:rsid w:val="006E1F98"/>
    <w:rsid w:val="006E2079"/>
    <w:rsid w:val="006E2E82"/>
    <w:rsid w:val="006E4984"/>
    <w:rsid w:val="006E5546"/>
    <w:rsid w:val="006F1457"/>
    <w:rsid w:val="006F3EE9"/>
    <w:rsid w:val="006F53D5"/>
    <w:rsid w:val="007035EC"/>
    <w:rsid w:val="00706756"/>
    <w:rsid w:val="0070683A"/>
    <w:rsid w:val="0071641F"/>
    <w:rsid w:val="007300D7"/>
    <w:rsid w:val="00734AAB"/>
    <w:rsid w:val="007354B1"/>
    <w:rsid w:val="00737B08"/>
    <w:rsid w:val="00740857"/>
    <w:rsid w:val="0074181C"/>
    <w:rsid w:val="00747FB9"/>
    <w:rsid w:val="00751939"/>
    <w:rsid w:val="00756391"/>
    <w:rsid w:val="00757EA1"/>
    <w:rsid w:val="007611D6"/>
    <w:rsid w:val="00763084"/>
    <w:rsid w:val="0076540A"/>
    <w:rsid w:val="007660BB"/>
    <w:rsid w:val="00766351"/>
    <w:rsid w:val="0077031F"/>
    <w:rsid w:val="0077041C"/>
    <w:rsid w:val="0077086A"/>
    <w:rsid w:val="00772203"/>
    <w:rsid w:val="007733C9"/>
    <w:rsid w:val="00773A82"/>
    <w:rsid w:val="00774592"/>
    <w:rsid w:val="00774E7E"/>
    <w:rsid w:val="00776BD6"/>
    <w:rsid w:val="00781108"/>
    <w:rsid w:val="00784330"/>
    <w:rsid w:val="00784AEA"/>
    <w:rsid w:val="007864EF"/>
    <w:rsid w:val="0079259D"/>
    <w:rsid w:val="00795C05"/>
    <w:rsid w:val="00796913"/>
    <w:rsid w:val="007A135B"/>
    <w:rsid w:val="007A1784"/>
    <w:rsid w:val="007A559E"/>
    <w:rsid w:val="007A572E"/>
    <w:rsid w:val="007A7044"/>
    <w:rsid w:val="007A7710"/>
    <w:rsid w:val="007B14C0"/>
    <w:rsid w:val="007B1861"/>
    <w:rsid w:val="007B77FE"/>
    <w:rsid w:val="007C0B99"/>
    <w:rsid w:val="007C16B1"/>
    <w:rsid w:val="007C1A63"/>
    <w:rsid w:val="007C27A2"/>
    <w:rsid w:val="007C4D3C"/>
    <w:rsid w:val="007C5EA3"/>
    <w:rsid w:val="007C6F5A"/>
    <w:rsid w:val="007D0CDA"/>
    <w:rsid w:val="007D14D6"/>
    <w:rsid w:val="007D1CBB"/>
    <w:rsid w:val="007D2B1C"/>
    <w:rsid w:val="007D7DF3"/>
    <w:rsid w:val="007E120C"/>
    <w:rsid w:val="007E4DAF"/>
    <w:rsid w:val="007E61C2"/>
    <w:rsid w:val="007E6204"/>
    <w:rsid w:val="007E7B6C"/>
    <w:rsid w:val="007F1DA2"/>
    <w:rsid w:val="007F26F5"/>
    <w:rsid w:val="00800E5C"/>
    <w:rsid w:val="00801845"/>
    <w:rsid w:val="008037E6"/>
    <w:rsid w:val="00811012"/>
    <w:rsid w:val="00812CBF"/>
    <w:rsid w:val="0081341E"/>
    <w:rsid w:val="00813E11"/>
    <w:rsid w:val="00820399"/>
    <w:rsid w:val="0082176A"/>
    <w:rsid w:val="00823292"/>
    <w:rsid w:val="00823638"/>
    <w:rsid w:val="00825440"/>
    <w:rsid w:val="008257BA"/>
    <w:rsid w:val="00826D36"/>
    <w:rsid w:val="00827645"/>
    <w:rsid w:val="008300ED"/>
    <w:rsid w:val="00831FE1"/>
    <w:rsid w:val="00833880"/>
    <w:rsid w:val="00840EFA"/>
    <w:rsid w:val="00842D89"/>
    <w:rsid w:val="00842DD4"/>
    <w:rsid w:val="0084314D"/>
    <w:rsid w:val="00843C0B"/>
    <w:rsid w:val="00845B3A"/>
    <w:rsid w:val="00846608"/>
    <w:rsid w:val="00846907"/>
    <w:rsid w:val="0084698A"/>
    <w:rsid w:val="008469AE"/>
    <w:rsid w:val="0085524D"/>
    <w:rsid w:val="00856F5C"/>
    <w:rsid w:val="008617B0"/>
    <w:rsid w:val="00867A5D"/>
    <w:rsid w:val="00867B7E"/>
    <w:rsid w:val="008800EC"/>
    <w:rsid w:val="008814C2"/>
    <w:rsid w:val="0088153B"/>
    <w:rsid w:val="00883314"/>
    <w:rsid w:val="0088385B"/>
    <w:rsid w:val="00883D3B"/>
    <w:rsid w:val="00884EF5"/>
    <w:rsid w:val="008867DC"/>
    <w:rsid w:val="00887A0D"/>
    <w:rsid w:val="008907C3"/>
    <w:rsid w:val="00892DC6"/>
    <w:rsid w:val="008A1216"/>
    <w:rsid w:val="008A39C0"/>
    <w:rsid w:val="008A51E1"/>
    <w:rsid w:val="008A5880"/>
    <w:rsid w:val="008A6E86"/>
    <w:rsid w:val="008A7FC5"/>
    <w:rsid w:val="008B3A76"/>
    <w:rsid w:val="008B3F5B"/>
    <w:rsid w:val="008B50FD"/>
    <w:rsid w:val="008B5A8F"/>
    <w:rsid w:val="008C0BAF"/>
    <w:rsid w:val="008C20E6"/>
    <w:rsid w:val="008C2EB9"/>
    <w:rsid w:val="008C53C3"/>
    <w:rsid w:val="008C7BDE"/>
    <w:rsid w:val="008D0218"/>
    <w:rsid w:val="008D08AE"/>
    <w:rsid w:val="008D3214"/>
    <w:rsid w:val="008D57B3"/>
    <w:rsid w:val="008D79F8"/>
    <w:rsid w:val="008E02C5"/>
    <w:rsid w:val="008E20D9"/>
    <w:rsid w:val="008E2654"/>
    <w:rsid w:val="008E5096"/>
    <w:rsid w:val="008E6959"/>
    <w:rsid w:val="008F113E"/>
    <w:rsid w:val="008F3B1C"/>
    <w:rsid w:val="009011A5"/>
    <w:rsid w:val="00904571"/>
    <w:rsid w:val="009075F8"/>
    <w:rsid w:val="009102E5"/>
    <w:rsid w:val="00911ABE"/>
    <w:rsid w:val="0091266F"/>
    <w:rsid w:val="009179E5"/>
    <w:rsid w:val="009217A6"/>
    <w:rsid w:val="00922C8D"/>
    <w:rsid w:val="0092416D"/>
    <w:rsid w:val="00926693"/>
    <w:rsid w:val="00930995"/>
    <w:rsid w:val="00932D4A"/>
    <w:rsid w:val="00934966"/>
    <w:rsid w:val="00940B46"/>
    <w:rsid w:val="00942E2B"/>
    <w:rsid w:val="009449F5"/>
    <w:rsid w:val="00944CFB"/>
    <w:rsid w:val="00945AB9"/>
    <w:rsid w:val="00947A3F"/>
    <w:rsid w:val="00957BAB"/>
    <w:rsid w:val="00960EA8"/>
    <w:rsid w:val="00963E7F"/>
    <w:rsid w:val="00965215"/>
    <w:rsid w:val="00965980"/>
    <w:rsid w:val="00966BAC"/>
    <w:rsid w:val="00966D2B"/>
    <w:rsid w:val="009718D6"/>
    <w:rsid w:val="00972140"/>
    <w:rsid w:val="009762AA"/>
    <w:rsid w:val="00976AB4"/>
    <w:rsid w:val="009801E4"/>
    <w:rsid w:val="009803F1"/>
    <w:rsid w:val="009827C5"/>
    <w:rsid w:val="00982EF9"/>
    <w:rsid w:val="009839C9"/>
    <w:rsid w:val="009861E3"/>
    <w:rsid w:val="009905AA"/>
    <w:rsid w:val="00991EB5"/>
    <w:rsid w:val="00993108"/>
    <w:rsid w:val="00994AFB"/>
    <w:rsid w:val="009A139C"/>
    <w:rsid w:val="009A1D9E"/>
    <w:rsid w:val="009A33E0"/>
    <w:rsid w:val="009A3545"/>
    <w:rsid w:val="009A59B3"/>
    <w:rsid w:val="009A787A"/>
    <w:rsid w:val="009B12C2"/>
    <w:rsid w:val="009B69DF"/>
    <w:rsid w:val="009C2659"/>
    <w:rsid w:val="009C57A0"/>
    <w:rsid w:val="009D09B3"/>
    <w:rsid w:val="009D2895"/>
    <w:rsid w:val="009D4CA6"/>
    <w:rsid w:val="009D5BAC"/>
    <w:rsid w:val="009D62BD"/>
    <w:rsid w:val="009D7DA2"/>
    <w:rsid w:val="009E0547"/>
    <w:rsid w:val="009E1BF0"/>
    <w:rsid w:val="009E531B"/>
    <w:rsid w:val="009E5887"/>
    <w:rsid w:val="009E590C"/>
    <w:rsid w:val="009E5E37"/>
    <w:rsid w:val="009F36BE"/>
    <w:rsid w:val="009F5911"/>
    <w:rsid w:val="00A017D1"/>
    <w:rsid w:val="00A06515"/>
    <w:rsid w:val="00A06E43"/>
    <w:rsid w:val="00A146D5"/>
    <w:rsid w:val="00A159BB"/>
    <w:rsid w:val="00A15A66"/>
    <w:rsid w:val="00A17EEF"/>
    <w:rsid w:val="00A17EF4"/>
    <w:rsid w:val="00A21784"/>
    <w:rsid w:val="00A21E14"/>
    <w:rsid w:val="00A22472"/>
    <w:rsid w:val="00A22936"/>
    <w:rsid w:val="00A22D8B"/>
    <w:rsid w:val="00A2387C"/>
    <w:rsid w:val="00A23A96"/>
    <w:rsid w:val="00A2629A"/>
    <w:rsid w:val="00A331B9"/>
    <w:rsid w:val="00A373B5"/>
    <w:rsid w:val="00A41864"/>
    <w:rsid w:val="00A43E0E"/>
    <w:rsid w:val="00A44BB6"/>
    <w:rsid w:val="00A45DD2"/>
    <w:rsid w:val="00A52451"/>
    <w:rsid w:val="00A5263C"/>
    <w:rsid w:val="00A55882"/>
    <w:rsid w:val="00A564BB"/>
    <w:rsid w:val="00A5655F"/>
    <w:rsid w:val="00A6121F"/>
    <w:rsid w:val="00A700EA"/>
    <w:rsid w:val="00A728D0"/>
    <w:rsid w:val="00A746CF"/>
    <w:rsid w:val="00A76D3E"/>
    <w:rsid w:val="00A80AC9"/>
    <w:rsid w:val="00A82398"/>
    <w:rsid w:val="00A84B91"/>
    <w:rsid w:val="00A84C83"/>
    <w:rsid w:val="00A85D10"/>
    <w:rsid w:val="00A87DF4"/>
    <w:rsid w:val="00A9115C"/>
    <w:rsid w:val="00A93734"/>
    <w:rsid w:val="00AA00FA"/>
    <w:rsid w:val="00AA2322"/>
    <w:rsid w:val="00AB10A8"/>
    <w:rsid w:val="00AB1954"/>
    <w:rsid w:val="00AB1A54"/>
    <w:rsid w:val="00AB24DC"/>
    <w:rsid w:val="00AB2B8D"/>
    <w:rsid w:val="00AB3938"/>
    <w:rsid w:val="00AB52AF"/>
    <w:rsid w:val="00AB759D"/>
    <w:rsid w:val="00AC017F"/>
    <w:rsid w:val="00AC1060"/>
    <w:rsid w:val="00AC5C65"/>
    <w:rsid w:val="00AC5F99"/>
    <w:rsid w:val="00AC60A3"/>
    <w:rsid w:val="00AD01CA"/>
    <w:rsid w:val="00AD341B"/>
    <w:rsid w:val="00AD4942"/>
    <w:rsid w:val="00AD5956"/>
    <w:rsid w:val="00AD62C1"/>
    <w:rsid w:val="00AD71E2"/>
    <w:rsid w:val="00AE0A14"/>
    <w:rsid w:val="00AE2855"/>
    <w:rsid w:val="00AE329B"/>
    <w:rsid w:val="00AE32F0"/>
    <w:rsid w:val="00AF1A2F"/>
    <w:rsid w:val="00AF582F"/>
    <w:rsid w:val="00AF6477"/>
    <w:rsid w:val="00B0208B"/>
    <w:rsid w:val="00B035BB"/>
    <w:rsid w:val="00B03E3A"/>
    <w:rsid w:val="00B1106C"/>
    <w:rsid w:val="00B11C4F"/>
    <w:rsid w:val="00B13AB3"/>
    <w:rsid w:val="00B15B5E"/>
    <w:rsid w:val="00B20A65"/>
    <w:rsid w:val="00B23A08"/>
    <w:rsid w:val="00B258C1"/>
    <w:rsid w:val="00B27394"/>
    <w:rsid w:val="00B2794A"/>
    <w:rsid w:val="00B30D6B"/>
    <w:rsid w:val="00B30DA3"/>
    <w:rsid w:val="00B36AAF"/>
    <w:rsid w:val="00B421A5"/>
    <w:rsid w:val="00B42E76"/>
    <w:rsid w:val="00B432ED"/>
    <w:rsid w:val="00B44120"/>
    <w:rsid w:val="00B47C68"/>
    <w:rsid w:val="00B47F15"/>
    <w:rsid w:val="00B511D1"/>
    <w:rsid w:val="00B5337B"/>
    <w:rsid w:val="00B54F66"/>
    <w:rsid w:val="00B55150"/>
    <w:rsid w:val="00B601E3"/>
    <w:rsid w:val="00B6582D"/>
    <w:rsid w:val="00B663F1"/>
    <w:rsid w:val="00B70164"/>
    <w:rsid w:val="00B71EDF"/>
    <w:rsid w:val="00B7419B"/>
    <w:rsid w:val="00B74559"/>
    <w:rsid w:val="00B74765"/>
    <w:rsid w:val="00B80345"/>
    <w:rsid w:val="00B9032F"/>
    <w:rsid w:val="00B93033"/>
    <w:rsid w:val="00B9439A"/>
    <w:rsid w:val="00BA09E5"/>
    <w:rsid w:val="00BA4439"/>
    <w:rsid w:val="00BA5676"/>
    <w:rsid w:val="00BA5971"/>
    <w:rsid w:val="00BA699D"/>
    <w:rsid w:val="00BB1329"/>
    <w:rsid w:val="00BB1B51"/>
    <w:rsid w:val="00BB4B5D"/>
    <w:rsid w:val="00BB56B9"/>
    <w:rsid w:val="00BB6D41"/>
    <w:rsid w:val="00BC2E5D"/>
    <w:rsid w:val="00BC7343"/>
    <w:rsid w:val="00BD4F12"/>
    <w:rsid w:val="00BD5D3F"/>
    <w:rsid w:val="00BE15A5"/>
    <w:rsid w:val="00BE1A65"/>
    <w:rsid w:val="00BE3D47"/>
    <w:rsid w:val="00BE4459"/>
    <w:rsid w:val="00BE5F09"/>
    <w:rsid w:val="00BE6862"/>
    <w:rsid w:val="00BF0C0D"/>
    <w:rsid w:val="00BF1772"/>
    <w:rsid w:val="00BF1EF2"/>
    <w:rsid w:val="00BF452C"/>
    <w:rsid w:val="00C04E66"/>
    <w:rsid w:val="00C052D3"/>
    <w:rsid w:val="00C053DD"/>
    <w:rsid w:val="00C063F3"/>
    <w:rsid w:val="00C06610"/>
    <w:rsid w:val="00C129C7"/>
    <w:rsid w:val="00C12A59"/>
    <w:rsid w:val="00C15E8E"/>
    <w:rsid w:val="00C1643A"/>
    <w:rsid w:val="00C17E0B"/>
    <w:rsid w:val="00C20334"/>
    <w:rsid w:val="00C20505"/>
    <w:rsid w:val="00C230E7"/>
    <w:rsid w:val="00C23419"/>
    <w:rsid w:val="00C23A8C"/>
    <w:rsid w:val="00C25778"/>
    <w:rsid w:val="00C26433"/>
    <w:rsid w:val="00C27184"/>
    <w:rsid w:val="00C3097F"/>
    <w:rsid w:val="00C30E34"/>
    <w:rsid w:val="00C31CCB"/>
    <w:rsid w:val="00C326DB"/>
    <w:rsid w:val="00C33549"/>
    <w:rsid w:val="00C33DAC"/>
    <w:rsid w:val="00C364B5"/>
    <w:rsid w:val="00C43EB3"/>
    <w:rsid w:val="00C4710C"/>
    <w:rsid w:val="00C539E1"/>
    <w:rsid w:val="00C54003"/>
    <w:rsid w:val="00C713EC"/>
    <w:rsid w:val="00C726F3"/>
    <w:rsid w:val="00C7358D"/>
    <w:rsid w:val="00C748E7"/>
    <w:rsid w:val="00C756D7"/>
    <w:rsid w:val="00C822DA"/>
    <w:rsid w:val="00C828F2"/>
    <w:rsid w:val="00C83610"/>
    <w:rsid w:val="00C90FD3"/>
    <w:rsid w:val="00C928B8"/>
    <w:rsid w:val="00C93FBA"/>
    <w:rsid w:val="00C949A5"/>
    <w:rsid w:val="00C9585E"/>
    <w:rsid w:val="00CA34FC"/>
    <w:rsid w:val="00CA3622"/>
    <w:rsid w:val="00CA49AF"/>
    <w:rsid w:val="00CA602B"/>
    <w:rsid w:val="00CA6239"/>
    <w:rsid w:val="00CA7FE5"/>
    <w:rsid w:val="00CB1D6B"/>
    <w:rsid w:val="00CB2132"/>
    <w:rsid w:val="00CB4D17"/>
    <w:rsid w:val="00CB4D9E"/>
    <w:rsid w:val="00CB51F6"/>
    <w:rsid w:val="00CB54EF"/>
    <w:rsid w:val="00CC12F6"/>
    <w:rsid w:val="00CC2CA7"/>
    <w:rsid w:val="00CC3539"/>
    <w:rsid w:val="00CC4113"/>
    <w:rsid w:val="00CC454A"/>
    <w:rsid w:val="00CC4A81"/>
    <w:rsid w:val="00CC598B"/>
    <w:rsid w:val="00CD3282"/>
    <w:rsid w:val="00CD4D61"/>
    <w:rsid w:val="00CD501F"/>
    <w:rsid w:val="00CD5894"/>
    <w:rsid w:val="00CE0732"/>
    <w:rsid w:val="00CF0440"/>
    <w:rsid w:val="00CF1E06"/>
    <w:rsid w:val="00CF6033"/>
    <w:rsid w:val="00CF60E7"/>
    <w:rsid w:val="00D0032C"/>
    <w:rsid w:val="00D01C90"/>
    <w:rsid w:val="00D041B4"/>
    <w:rsid w:val="00D10F5C"/>
    <w:rsid w:val="00D12B39"/>
    <w:rsid w:val="00D144CB"/>
    <w:rsid w:val="00D20A38"/>
    <w:rsid w:val="00D24995"/>
    <w:rsid w:val="00D25DEF"/>
    <w:rsid w:val="00D25E2D"/>
    <w:rsid w:val="00D27194"/>
    <w:rsid w:val="00D276B2"/>
    <w:rsid w:val="00D30721"/>
    <w:rsid w:val="00D36B16"/>
    <w:rsid w:val="00D425D8"/>
    <w:rsid w:val="00D43574"/>
    <w:rsid w:val="00D43659"/>
    <w:rsid w:val="00D440BB"/>
    <w:rsid w:val="00D44331"/>
    <w:rsid w:val="00D54342"/>
    <w:rsid w:val="00D5742D"/>
    <w:rsid w:val="00D57D8D"/>
    <w:rsid w:val="00D602ED"/>
    <w:rsid w:val="00D60E29"/>
    <w:rsid w:val="00D644F4"/>
    <w:rsid w:val="00D72C22"/>
    <w:rsid w:val="00D74CC3"/>
    <w:rsid w:val="00D7798D"/>
    <w:rsid w:val="00D800B6"/>
    <w:rsid w:val="00D804AC"/>
    <w:rsid w:val="00D81D15"/>
    <w:rsid w:val="00D81FEB"/>
    <w:rsid w:val="00D82DEC"/>
    <w:rsid w:val="00D84923"/>
    <w:rsid w:val="00D91C73"/>
    <w:rsid w:val="00D94002"/>
    <w:rsid w:val="00D97785"/>
    <w:rsid w:val="00DA1030"/>
    <w:rsid w:val="00DA1B37"/>
    <w:rsid w:val="00DA6540"/>
    <w:rsid w:val="00DA68C7"/>
    <w:rsid w:val="00DB40C5"/>
    <w:rsid w:val="00DC6662"/>
    <w:rsid w:val="00DD2301"/>
    <w:rsid w:val="00DD3A18"/>
    <w:rsid w:val="00DD4A89"/>
    <w:rsid w:val="00DD5AAB"/>
    <w:rsid w:val="00DD5D06"/>
    <w:rsid w:val="00DD7E37"/>
    <w:rsid w:val="00DE15EF"/>
    <w:rsid w:val="00DF0A51"/>
    <w:rsid w:val="00DF0BD2"/>
    <w:rsid w:val="00DF28B3"/>
    <w:rsid w:val="00DF4543"/>
    <w:rsid w:val="00DF4B86"/>
    <w:rsid w:val="00DF7EF8"/>
    <w:rsid w:val="00E0085D"/>
    <w:rsid w:val="00E03BBC"/>
    <w:rsid w:val="00E03CF0"/>
    <w:rsid w:val="00E051E5"/>
    <w:rsid w:val="00E0590C"/>
    <w:rsid w:val="00E11743"/>
    <w:rsid w:val="00E12FAB"/>
    <w:rsid w:val="00E16380"/>
    <w:rsid w:val="00E22626"/>
    <w:rsid w:val="00E324B8"/>
    <w:rsid w:val="00E32934"/>
    <w:rsid w:val="00E34A7A"/>
    <w:rsid w:val="00E34C75"/>
    <w:rsid w:val="00E40222"/>
    <w:rsid w:val="00E40814"/>
    <w:rsid w:val="00E410D2"/>
    <w:rsid w:val="00E41DD6"/>
    <w:rsid w:val="00E42839"/>
    <w:rsid w:val="00E42AB4"/>
    <w:rsid w:val="00E43715"/>
    <w:rsid w:val="00E451F8"/>
    <w:rsid w:val="00E45D66"/>
    <w:rsid w:val="00E4607D"/>
    <w:rsid w:val="00E52E9C"/>
    <w:rsid w:val="00E533A1"/>
    <w:rsid w:val="00E54C3C"/>
    <w:rsid w:val="00E60478"/>
    <w:rsid w:val="00E61A6D"/>
    <w:rsid w:val="00E660A5"/>
    <w:rsid w:val="00E665CB"/>
    <w:rsid w:val="00E67228"/>
    <w:rsid w:val="00E67663"/>
    <w:rsid w:val="00E71B76"/>
    <w:rsid w:val="00E71D00"/>
    <w:rsid w:val="00E80026"/>
    <w:rsid w:val="00E80311"/>
    <w:rsid w:val="00E80A76"/>
    <w:rsid w:val="00E8565E"/>
    <w:rsid w:val="00E9093F"/>
    <w:rsid w:val="00E96E90"/>
    <w:rsid w:val="00EA14EF"/>
    <w:rsid w:val="00EA29FF"/>
    <w:rsid w:val="00EA31F5"/>
    <w:rsid w:val="00EA66A8"/>
    <w:rsid w:val="00EB2732"/>
    <w:rsid w:val="00EB4CC6"/>
    <w:rsid w:val="00EB50EB"/>
    <w:rsid w:val="00EB5571"/>
    <w:rsid w:val="00EB78E2"/>
    <w:rsid w:val="00EB7A03"/>
    <w:rsid w:val="00EC2021"/>
    <w:rsid w:val="00EC3899"/>
    <w:rsid w:val="00EC45B4"/>
    <w:rsid w:val="00EC4F3B"/>
    <w:rsid w:val="00EC583B"/>
    <w:rsid w:val="00ED073E"/>
    <w:rsid w:val="00ED0ABB"/>
    <w:rsid w:val="00ED271B"/>
    <w:rsid w:val="00ED42C0"/>
    <w:rsid w:val="00EE1523"/>
    <w:rsid w:val="00EE3426"/>
    <w:rsid w:val="00EE7D12"/>
    <w:rsid w:val="00EE7F9C"/>
    <w:rsid w:val="00EF14C6"/>
    <w:rsid w:val="00EF3445"/>
    <w:rsid w:val="00EF523B"/>
    <w:rsid w:val="00EF6D6D"/>
    <w:rsid w:val="00F017EA"/>
    <w:rsid w:val="00F0334E"/>
    <w:rsid w:val="00F100BF"/>
    <w:rsid w:val="00F120C3"/>
    <w:rsid w:val="00F2307C"/>
    <w:rsid w:val="00F257D0"/>
    <w:rsid w:val="00F31604"/>
    <w:rsid w:val="00F33A0F"/>
    <w:rsid w:val="00F34AEE"/>
    <w:rsid w:val="00F4388A"/>
    <w:rsid w:val="00F452FB"/>
    <w:rsid w:val="00F469E0"/>
    <w:rsid w:val="00F502E5"/>
    <w:rsid w:val="00F55B16"/>
    <w:rsid w:val="00F573C7"/>
    <w:rsid w:val="00F5772F"/>
    <w:rsid w:val="00F60604"/>
    <w:rsid w:val="00F634FE"/>
    <w:rsid w:val="00F636D1"/>
    <w:rsid w:val="00F64F7F"/>
    <w:rsid w:val="00F65A5A"/>
    <w:rsid w:val="00F66F97"/>
    <w:rsid w:val="00F6711A"/>
    <w:rsid w:val="00F67E82"/>
    <w:rsid w:val="00F710F2"/>
    <w:rsid w:val="00F73512"/>
    <w:rsid w:val="00F75E08"/>
    <w:rsid w:val="00F8143E"/>
    <w:rsid w:val="00F82DB8"/>
    <w:rsid w:val="00F83A8F"/>
    <w:rsid w:val="00F841B1"/>
    <w:rsid w:val="00F87BB9"/>
    <w:rsid w:val="00F91DDA"/>
    <w:rsid w:val="00F93DCD"/>
    <w:rsid w:val="00F946AE"/>
    <w:rsid w:val="00F95CEC"/>
    <w:rsid w:val="00F97099"/>
    <w:rsid w:val="00FA0B41"/>
    <w:rsid w:val="00FA34E4"/>
    <w:rsid w:val="00FA5A30"/>
    <w:rsid w:val="00FA6DC5"/>
    <w:rsid w:val="00FB5308"/>
    <w:rsid w:val="00FB6D25"/>
    <w:rsid w:val="00FB72EA"/>
    <w:rsid w:val="00FC050E"/>
    <w:rsid w:val="00FC16D4"/>
    <w:rsid w:val="00FC18BC"/>
    <w:rsid w:val="00FC2A13"/>
    <w:rsid w:val="00FC2EA9"/>
    <w:rsid w:val="00FC345B"/>
    <w:rsid w:val="00FC5B97"/>
    <w:rsid w:val="00FD2685"/>
    <w:rsid w:val="00FD29E7"/>
    <w:rsid w:val="00FE0D0A"/>
    <w:rsid w:val="00FE2611"/>
    <w:rsid w:val="00FE6BF3"/>
    <w:rsid w:val="00FF0DA7"/>
    <w:rsid w:val="00FF18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C6BBA-99F8-4B92-99D3-66C33FBE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207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chart" Target="charts/chart8.xml"/><Relationship Id="rId5" Type="http://schemas.openxmlformats.org/officeDocument/2006/relationships/chart" Target="charts/chart2.xml"/><Relationship Id="rId15" Type="http://schemas.openxmlformats.org/officeDocument/2006/relationships/theme" Target="theme/theme1.xml"/><Relationship Id="rId10" Type="http://schemas.openxmlformats.org/officeDocument/2006/relationships/chart" Target="charts/chart7.xml"/><Relationship Id="rId4" Type="http://schemas.openxmlformats.org/officeDocument/2006/relationships/chart" Target="charts/chart1.xml"/><Relationship Id="rId9" Type="http://schemas.openxmlformats.org/officeDocument/2006/relationships/chart" Target="charts/chart6.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ov_delovni_lis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ov_delovni_lis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ov_delovni_lis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ov_delovni_lis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ov_delovni_lis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ov_delovni_lis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ov_delovni_lis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package" Target="../embeddings/Microsoft_Excelov_delovni_lis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Left elbow</a:t>
            </a:r>
          </a:p>
        </c:rich>
      </c:tx>
      <c:layout>
        <c:manualLayout>
          <c:xMode val="edge"/>
          <c:yMode val="edge"/>
          <c:x val="0.40635678604690539"/>
          <c:y val="4.9382511396601741E-2"/>
        </c:manualLayout>
      </c:layout>
      <c:overlay val="1"/>
    </c:title>
    <c:autoTitleDeleted val="0"/>
    <c:plotArea>
      <c:layout>
        <c:manualLayout>
          <c:layoutTarget val="inner"/>
          <c:xMode val="edge"/>
          <c:yMode val="edge"/>
          <c:x val="0.16983784003743771"/>
          <c:y val="5.0575807653672866E-2"/>
          <c:w val="0.77912592321308882"/>
          <c:h val="0.77001522957778501"/>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13.798</c:v>
                </c:pt>
                <c:pt idx="1">
                  <c:v>13.894</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10.925000000000001</c:v>
                </c:pt>
                <c:pt idx="1">
                  <c:v>14.27</c:v>
                </c:pt>
              </c:numCache>
            </c:numRef>
          </c:val>
          <c:smooth val="0"/>
        </c:ser>
        <c:dLbls>
          <c:showLegendKey val="0"/>
          <c:showVal val="0"/>
          <c:showCatName val="0"/>
          <c:showSerName val="0"/>
          <c:showPercent val="0"/>
          <c:showBubbleSize val="0"/>
        </c:dLbls>
        <c:marker val="1"/>
        <c:smooth val="0"/>
        <c:axId val="-1247324832"/>
        <c:axId val="-1247315584"/>
      </c:lineChart>
      <c:catAx>
        <c:axId val="-1247324832"/>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1247315584"/>
        <c:crosses val="autoZero"/>
        <c:auto val="1"/>
        <c:lblAlgn val="ctr"/>
        <c:lblOffset val="100"/>
        <c:tickLblSkip val="1"/>
        <c:tickMarkSkip val="1"/>
        <c:noMultiLvlLbl val="0"/>
      </c:catAx>
      <c:valAx>
        <c:axId val="-1247315584"/>
        <c:scaling>
          <c:orientation val="minMax"/>
          <c:max val="16"/>
          <c:min val="10"/>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1247324832"/>
        <c:crosses val="autoZero"/>
        <c:crossBetween val="between"/>
        <c:majorUnit val="3"/>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Right elbow</a:t>
            </a:r>
          </a:p>
        </c:rich>
      </c:tx>
      <c:layout>
        <c:manualLayout>
          <c:xMode val="edge"/>
          <c:yMode val="edge"/>
          <c:x val="0.39085259503852338"/>
          <c:y val="4.1152092830501447E-2"/>
        </c:manualLayout>
      </c:layout>
      <c:overlay val="1"/>
    </c:title>
    <c:autoTitleDeleted val="0"/>
    <c:plotArea>
      <c:layout>
        <c:manualLayout>
          <c:layoutTarget val="inner"/>
          <c:xMode val="edge"/>
          <c:yMode val="edge"/>
          <c:x val="0.16983784003743757"/>
          <c:y val="5.0575807653672866E-2"/>
          <c:w val="0.77912592321308927"/>
          <c:h val="0.77001522957778545"/>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13.92</c:v>
                </c:pt>
                <c:pt idx="1">
                  <c:v>13.27</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9.06</c:v>
                </c:pt>
                <c:pt idx="1">
                  <c:v>10.36</c:v>
                </c:pt>
              </c:numCache>
            </c:numRef>
          </c:val>
          <c:smooth val="0"/>
        </c:ser>
        <c:dLbls>
          <c:showLegendKey val="0"/>
          <c:showVal val="0"/>
          <c:showCatName val="0"/>
          <c:showSerName val="0"/>
          <c:showPercent val="0"/>
          <c:showBubbleSize val="0"/>
        </c:dLbls>
        <c:marker val="1"/>
        <c:smooth val="0"/>
        <c:axId val="-1247316672"/>
        <c:axId val="-756628816"/>
      </c:lineChart>
      <c:catAx>
        <c:axId val="-1247316672"/>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28816"/>
        <c:crosses val="autoZero"/>
        <c:auto val="1"/>
        <c:lblAlgn val="ctr"/>
        <c:lblOffset val="100"/>
        <c:tickLblSkip val="1"/>
        <c:tickMarkSkip val="1"/>
        <c:noMultiLvlLbl val="0"/>
      </c:catAx>
      <c:valAx>
        <c:axId val="-756628816"/>
        <c:scaling>
          <c:orientation val="minMax"/>
          <c:max val="15"/>
          <c:min val="9"/>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1247316672"/>
        <c:crosses val="autoZero"/>
        <c:crossBetween val="between"/>
        <c:majorUnit val="3"/>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Left shoulder</a:t>
            </a:r>
          </a:p>
        </c:rich>
      </c:tx>
      <c:layout>
        <c:manualLayout>
          <c:xMode val="edge"/>
          <c:yMode val="edge"/>
          <c:x val="0.44770044873423076"/>
          <c:y val="2.4691255698300871E-2"/>
        </c:manualLayout>
      </c:layout>
      <c:overlay val="1"/>
    </c:title>
    <c:autoTitleDeleted val="0"/>
    <c:plotArea>
      <c:layout>
        <c:manualLayout>
          <c:layoutTarget val="inner"/>
          <c:xMode val="edge"/>
          <c:yMode val="edge"/>
          <c:x val="0.16983784003743757"/>
          <c:y val="5.0575807653672866E-2"/>
          <c:w val="0.77912592321308927"/>
          <c:h val="0.77001522957778545"/>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25.47</c:v>
                </c:pt>
                <c:pt idx="1">
                  <c:v>22.71</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16.3</c:v>
                </c:pt>
                <c:pt idx="1">
                  <c:v>19.46</c:v>
                </c:pt>
              </c:numCache>
            </c:numRef>
          </c:val>
          <c:smooth val="0"/>
        </c:ser>
        <c:dLbls>
          <c:showLegendKey val="0"/>
          <c:showVal val="0"/>
          <c:showCatName val="0"/>
          <c:showSerName val="0"/>
          <c:showPercent val="0"/>
          <c:showBubbleSize val="0"/>
        </c:dLbls>
        <c:marker val="1"/>
        <c:smooth val="0"/>
        <c:axId val="-756628272"/>
        <c:axId val="-756618480"/>
      </c:lineChart>
      <c:catAx>
        <c:axId val="-756628272"/>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8480"/>
        <c:crosses val="autoZero"/>
        <c:auto val="1"/>
        <c:lblAlgn val="ctr"/>
        <c:lblOffset val="100"/>
        <c:tickLblSkip val="1"/>
        <c:tickMarkSkip val="1"/>
        <c:noMultiLvlLbl val="0"/>
      </c:catAx>
      <c:valAx>
        <c:axId val="-756618480"/>
        <c:scaling>
          <c:orientation val="minMax"/>
          <c:max val="27"/>
          <c:min val="15"/>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layout>
            <c:manualLayout>
              <c:xMode val="edge"/>
              <c:yMode val="edge"/>
              <c:x val="0"/>
              <c:y val="0.22253833402403647"/>
            </c:manualLayout>
          </c:layout>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28272"/>
        <c:crosses val="autoZero"/>
        <c:crossBetween val="between"/>
        <c:majorUnit val="6"/>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Right shoulder</a:t>
            </a:r>
          </a:p>
        </c:rich>
      </c:tx>
      <c:layout>
        <c:manualLayout>
          <c:xMode val="edge"/>
          <c:yMode val="edge"/>
          <c:x val="0.44770044873423076"/>
          <c:y val="2.4691255698300871E-2"/>
        </c:manualLayout>
      </c:layout>
      <c:overlay val="1"/>
    </c:title>
    <c:autoTitleDeleted val="0"/>
    <c:plotArea>
      <c:layout>
        <c:manualLayout>
          <c:layoutTarget val="inner"/>
          <c:xMode val="edge"/>
          <c:yMode val="edge"/>
          <c:x val="0.16983784003743757"/>
          <c:y val="5.0575807653672866E-2"/>
          <c:w val="0.77912592321308927"/>
          <c:h val="0.77001522957778545"/>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25.75</c:v>
                </c:pt>
                <c:pt idx="1">
                  <c:v>23.88</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16.41</c:v>
                </c:pt>
                <c:pt idx="1">
                  <c:v>20.39</c:v>
                </c:pt>
              </c:numCache>
            </c:numRef>
          </c:val>
          <c:smooth val="0"/>
        </c:ser>
        <c:dLbls>
          <c:showLegendKey val="0"/>
          <c:showVal val="0"/>
          <c:showCatName val="0"/>
          <c:showSerName val="0"/>
          <c:showPercent val="0"/>
          <c:showBubbleSize val="0"/>
        </c:dLbls>
        <c:marker val="1"/>
        <c:smooth val="0"/>
        <c:axId val="-756614672"/>
        <c:axId val="-756613584"/>
      </c:lineChart>
      <c:catAx>
        <c:axId val="-756614672"/>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3584"/>
        <c:crosses val="autoZero"/>
        <c:auto val="1"/>
        <c:lblAlgn val="ctr"/>
        <c:lblOffset val="100"/>
        <c:tickLblSkip val="1"/>
        <c:tickMarkSkip val="1"/>
        <c:noMultiLvlLbl val="0"/>
      </c:catAx>
      <c:valAx>
        <c:axId val="-756613584"/>
        <c:scaling>
          <c:orientation val="minMax"/>
          <c:max val="27"/>
          <c:min val="15"/>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4672"/>
        <c:crosses val="autoZero"/>
        <c:crossBetween val="between"/>
        <c:majorUnit val="6"/>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Left hip</a:t>
            </a:r>
          </a:p>
        </c:rich>
      </c:tx>
      <c:layout>
        <c:manualLayout>
          <c:xMode val="edge"/>
          <c:yMode val="edge"/>
          <c:x val="0.47870798408263487"/>
          <c:y val="1.6460837132200579E-2"/>
        </c:manualLayout>
      </c:layout>
      <c:overlay val="1"/>
    </c:title>
    <c:autoTitleDeleted val="0"/>
    <c:plotArea>
      <c:layout>
        <c:manualLayout>
          <c:layoutTarget val="inner"/>
          <c:xMode val="edge"/>
          <c:yMode val="edge"/>
          <c:x val="0.16983784003743757"/>
          <c:y val="5.0575807653672866E-2"/>
          <c:w val="0.77912592321308927"/>
          <c:h val="0.77001522957778545"/>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43.84</c:v>
                </c:pt>
                <c:pt idx="1">
                  <c:v>40.08</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28.49</c:v>
                </c:pt>
                <c:pt idx="1">
                  <c:v>39.04</c:v>
                </c:pt>
              </c:numCache>
            </c:numRef>
          </c:val>
          <c:smooth val="0"/>
        </c:ser>
        <c:dLbls>
          <c:showLegendKey val="0"/>
          <c:showVal val="0"/>
          <c:showCatName val="0"/>
          <c:showSerName val="0"/>
          <c:showPercent val="0"/>
          <c:showBubbleSize val="0"/>
        </c:dLbls>
        <c:marker val="1"/>
        <c:smooth val="0"/>
        <c:axId val="-756622288"/>
        <c:axId val="-756623920"/>
      </c:lineChart>
      <c:catAx>
        <c:axId val="-756622288"/>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23920"/>
        <c:crosses val="autoZero"/>
        <c:auto val="1"/>
        <c:lblAlgn val="ctr"/>
        <c:lblOffset val="100"/>
        <c:tickLblSkip val="1"/>
        <c:tickMarkSkip val="1"/>
        <c:noMultiLvlLbl val="0"/>
      </c:catAx>
      <c:valAx>
        <c:axId val="-756623920"/>
        <c:scaling>
          <c:orientation val="minMax"/>
          <c:min val="25"/>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22288"/>
        <c:crosses val="autoZero"/>
        <c:crossBetween val="between"/>
        <c:majorUnit val="10"/>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Right hip</a:t>
            </a:r>
          </a:p>
        </c:rich>
      </c:tx>
      <c:layout>
        <c:manualLayout>
          <c:xMode val="edge"/>
          <c:yMode val="edge"/>
          <c:x val="0.44770044873423076"/>
          <c:y val="2.4691255698300871E-2"/>
        </c:manualLayout>
      </c:layout>
      <c:overlay val="1"/>
    </c:title>
    <c:autoTitleDeleted val="0"/>
    <c:plotArea>
      <c:layout>
        <c:manualLayout>
          <c:layoutTarget val="inner"/>
          <c:xMode val="edge"/>
          <c:yMode val="edge"/>
          <c:x val="0.16983784003743757"/>
          <c:y val="5.0575807653672866E-2"/>
          <c:w val="0.77912592321308927"/>
          <c:h val="0.77001522957778545"/>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45.34</c:v>
                </c:pt>
                <c:pt idx="1">
                  <c:v>44.43</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30.84</c:v>
                </c:pt>
                <c:pt idx="1">
                  <c:v>41</c:v>
                </c:pt>
              </c:numCache>
            </c:numRef>
          </c:val>
          <c:smooth val="0"/>
        </c:ser>
        <c:dLbls>
          <c:showLegendKey val="0"/>
          <c:showVal val="0"/>
          <c:showCatName val="0"/>
          <c:showSerName val="0"/>
          <c:showPercent val="0"/>
          <c:showBubbleSize val="0"/>
        </c:dLbls>
        <c:marker val="1"/>
        <c:smooth val="0"/>
        <c:axId val="-756613040"/>
        <c:axId val="-756617392"/>
      </c:lineChart>
      <c:catAx>
        <c:axId val="-756613040"/>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7392"/>
        <c:crosses val="autoZero"/>
        <c:auto val="1"/>
        <c:lblAlgn val="ctr"/>
        <c:lblOffset val="100"/>
        <c:tickLblSkip val="1"/>
        <c:tickMarkSkip val="1"/>
        <c:noMultiLvlLbl val="0"/>
      </c:catAx>
      <c:valAx>
        <c:axId val="-756617392"/>
        <c:scaling>
          <c:orientation val="minMax"/>
          <c:min val="30"/>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3040"/>
        <c:crosses val="autoZero"/>
        <c:crossBetween val="between"/>
        <c:majorUnit val="10"/>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0">
                <a:latin typeface="Times New Roman" panose="02020603050405020304" pitchFamily="18" charset="0"/>
                <a:cs typeface="Times New Roman" panose="02020603050405020304" pitchFamily="18" charset="0"/>
              </a:defRPr>
            </a:pPr>
            <a:r>
              <a:rPr lang="en-US" sz="1001" b="0">
                <a:latin typeface="Times New Roman" panose="02020603050405020304" pitchFamily="18" charset="0"/>
                <a:cs typeface="Times New Roman" panose="02020603050405020304" pitchFamily="18" charset="0"/>
              </a:rPr>
              <a:t>Left Knee</a:t>
            </a:r>
          </a:p>
        </c:rich>
      </c:tx>
      <c:layout>
        <c:manualLayout>
          <c:xMode val="edge"/>
          <c:yMode val="edge"/>
          <c:x val="0.44770019132223859"/>
          <c:y val="2.4691288588926382E-2"/>
        </c:manualLayout>
      </c:layout>
      <c:overlay val="1"/>
    </c:title>
    <c:autoTitleDeleted val="0"/>
    <c:plotArea>
      <c:layout>
        <c:manualLayout>
          <c:layoutTarget val="inner"/>
          <c:xMode val="edge"/>
          <c:yMode val="edge"/>
          <c:x val="0.16983784003743768"/>
          <c:y val="5.0575807653672866E-2"/>
          <c:w val="0.77912592321308982"/>
          <c:h val="0.77001522957778579"/>
        </c:manualLayout>
      </c:layout>
      <c:lineChart>
        <c:grouping val="standard"/>
        <c:varyColors val="0"/>
        <c:ser>
          <c:idx val="0"/>
          <c:order val="0"/>
          <c:tx>
            <c:strRef>
              <c:f>Sheet1!$A$2</c:f>
              <c:strCache>
                <c:ptCount val="1"/>
                <c:pt idx="0">
                  <c:v>Gymnasts</c:v>
                </c:pt>
              </c:strCache>
            </c:strRef>
          </c:tx>
          <c:spPr>
            <a:ln w="17338">
              <a:solidFill>
                <a:schemeClr val="tx1"/>
              </a:solidFill>
              <a:prstDash val="solid"/>
            </a:ln>
          </c:spPr>
          <c:marker>
            <c:symbol val="circle"/>
            <c:size val="4"/>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22.57</c:v>
                </c:pt>
                <c:pt idx="1">
                  <c:v>28.25</c:v>
                </c:pt>
              </c:numCache>
            </c:numRef>
          </c:val>
          <c:smooth val="0"/>
        </c:ser>
        <c:ser>
          <c:idx val="1"/>
          <c:order val="1"/>
          <c:tx>
            <c:strRef>
              <c:f>Sheet1!$A$3</c:f>
              <c:strCache>
                <c:ptCount val="1"/>
                <c:pt idx="0">
                  <c:v>Non Gymnasts</c:v>
                </c:pt>
              </c:strCache>
            </c:strRef>
          </c:tx>
          <c:spPr>
            <a:ln w="17338">
              <a:solidFill>
                <a:srgbClr val="000000"/>
              </a:solidFill>
              <a:prstDash val="dash"/>
            </a:ln>
          </c:spPr>
          <c:marker>
            <c:symbol val="square"/>
            <c:size val="4"/>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20.41</c:v>
                </c:pt>
                <c:pt idx="1">
                  <c:v>27.28</c:v>
                </c:pt>
              </c:numCache>
            </c:numRef>
          </c:val>
          <c:smooth val="0"/>
        </c:ser>
        <c:dLbls>
          <c:showLegendKey val="0"/>
          <c:showVal val="0"/>
          <c:showCatName val="0"/>
          <c:showSerName val="0"/>
          <c:showPercent val="0"/>
          <c:showBubbleSize val="0"/>
        </c:dLbls>
        <c:marker val="1"/>
        <c:smooth val="0"/>
        <c:axId val="-756620112"/>
        <c:axId val="-756610864"/>
      </c:lineChart>
      <c:catAx>
        <c:axId val="-756620112"/>
        <c:scaling>
          <c:orientation val="minMax"/>
        </c:scaling>
        <c:delete val="0"/>
        <c:axPos val="b"/>
        <c:title>
          <c:tx>
            <c:rich>
              <a:bodyPr/>
              <a:lstStyle/>
              <a:p>
                <a:pPr>
                  <a:defRPr sz="1001"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06490534838"/>
              <c:y val="0.87583302087239101"/>
            </c:manualLayout>
          </c:layout>
          <c:overlay val="0"/>
        </c:title>
        <c:numFmt formatCode="General" sourceLinked="1"/>
        <c:majorTickMark val="none"/>
        <c:minorTickMark val="none"/>
        <c:tickLblPos val="nextTo"/>
        <c:spPr>
          <a:ln w="2886">
            <a:solidFill>
              <a:srgbClr val="000000"/>
            </a:solidFill>
            <a:prstDash val="solid"/>
          </a:ln>
        </c:spPr>
        <c:txPr>
          <a:bodyPr rot="0" vert="horz"/>
          <a:lstStyle/>
          <a:p>
            <a:pPr>
              <a:defRPr sz="1001"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0864"/>
        <c:crosses val="autoZero"/>
        <c:auto val="1"/>
        <c:lblAlgn val="ctr"/>
        <c:lblOffset val="100"/>
        <c:tickLblSkip val="1"/>
        <c:tickMarkSkip val="1"/>
        <c:noMultiLvlLbl val="0"/>
      </c:catAx>
      <c:valAx>
        <c:axId val="-756610864"/>
        <c:scaling>
          <c:orientation val="minMax"/>
          <c:max val="29"/>
          <c:min val="18"/>
        </c:scaling>
        <c:delete val="0"/>
        <c:axPos val="l"/>
        <c:title>
          <c:tx>
            <c:rich>
              <a:bodyPr/>
              <a:lstStyle/>
              <a:p>
                <a:pPr>
                  <a:defRPr sz="1001"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2886">
            <a:solidFill>
              <a:srgbClr val="000000"/>
            </a:solidFill>
            <a:prstDash val="solid"/>
          </a:ln>
        </c:spPr>
        <c:txPr>
          <a:bodyPr rot="0" vert="horz"/>
          <a:lstStyle/>
          <a:p>
            <a:pPr>
              <a:defRPr sz="1001"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20112"/>
        <c:crosses val="autoZero"/>
        <c:crossBetween val="between"/>
        <c:majorUnit val="5"/>
        <c:minorUnit val="0.5"/>
      </c:valAx>
      <c:spPr>
        <a:noFill/>
        <a:ln w="23118">
          <a:noFill/>
        </a:ln>
      </c:spPr>
    </c:plotArea>
    <c:plotVisOnly val="1"/>
    <c:dispBlanksAs val="gap"/>
    <c:showDLblsOverMax val="0"/>
  </c:chart>
  <c:spPr>
    <a:noFill/>
    <a:ln>
      <a:noFill/>
    </a:ln>
  </c:spPr>
  <c:txPr>
    <a:bodyPr/>
    <a:lstStyle/>
    <a:p>
      <a:pPr>
        <a:defRPr sz="523"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Times New Roman" panose="02020603050405020304" pitchFamily="18" charset="0"/>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Right knee</a:t>
            </a:r>
          </a:p>
        </c:rich>
      </c:tx>
      <c:layout>
        <c:manualLayout>
          <c:xMode val="edge"/>
          <c:yMode val="edge"/>
          <c:x val="0.44770044873423076"/>
          <c:y val="2.4691255698300871E-2"/>
        </c:manualLayout>
      </c:layout>
      <c:overlay val="1"/>
    </c:title>
    <c:autoTitleDeleted val="0"/>
    <c:plotArea>
      <c:layout>
        <c:manualLayout>
          <c:layoutTarget val="inner"/>
          <c:xMode val="edge"/>
          <c:yMode val="edge"/>
          <c:x val="0.16983784003743757"/>
          <c:y val="5.0575807653672866E-2"/>
          <c:w val="0.77912592321308927"/>
          <c:h val="0.77001522957778545"/>
        </c:manualLayout>
      </c:layout>
      <c:lineChart>
        <c:grouping val="standard"/>
        <c:varyColors val="0"/>
        <c:ser>
          <c:idx val="0"/>
          <c:order val="0"/>
          <c:tx>
            <c:strRef>
              <c:f>Sheet1!$A$2</c:f>
              <c:strCache>
                <c:ptCount val="1"/>
                <c:pt idx="0">
                  <c:v>Gymnasts</c:v>
                </c:pt>
              </c:strCache>
            </c:strRef>
          </c:tx>
          <c:spPr>
            <a:ln w="19050">
              <a:solidFill>
                <a:schemeClr val="tx1"/>
              </a:solidFill>
              <a:prstDash val="solid"/>
            </a:ln>
          </c:spPr>
          <c:marker>
            <c:symbol val="circle"/>
            <c:size val="5"/>
            <c:spPr>
              <a:solidFill>
                <a:schemeClr val="tx1"/>
              </a:solidFill>
              <a:ln>
                <a:noFill/>
                <a:prstDash val="solid"/>
              </a:ln>
            </c:spPr>
          </c:marker>
          <c:cat>
            <c:strRef>
              <c:f>Sheet1!$B$1:$C$1</c:f>
              <c:strCache>
                <c:ptCount val="2"/>
                <c:pt idx="0">
                  <c:v>1st</c:v>
                </c:pt>
                <c:pt idx="1">
                  <c:v>2nd</c:v>
                </c:pt>
              </c:strCache>
            </c:strRef>
          </c:cat>
          <c:val>
            <c:numRef>
              <c:f>Sheet1!$B$2:$C$2</c:f>
              <c:numCache>
                <c:formatCode>General</c:formatCode>
                <c:ptCount val="2"/>
                <c:pt idx="0">
                  <c:v>25.17</c:v>
                </c:pt>
                <c:pt idx="1">
                  <c:v>25.59</c:v>
                </c:pt>
              </c:numCache>
            </c:numRef>
          </c:val>
          <c:smooth val="0"/>
        </c:ser>
        <c:ser>
          <c:idx val="1"/>
          <c:order val="1"/>
          <c:tx>
            <c:strRef>
              <c:f>Sheet1!$A$3</c:f>
              <c:strCache>
                <c:ptCount val="1"/>
                <c:pt idx="0">
                  <c:v>Non Gymnasts</c:v>
                </c:pt>
              </c:strCache>
            </c:strRef>
          </c:tx>
          <c:spPr>
            <a:ln w="19050">
              <a:solidFill>
                <a:srgbClr val="000000"/>
              </a:solidFill>
              <a:prstDash val="dash"/>
            </a:ln>
          </c:spPr>
          <c:marker>
            <c:symbol val="square"/>
            <c:size val="5"/>
            <c:spPr>
              <a:solidFill>
                <a:schemeClr val="tx1"/>
              </a:solidFill>
              <a:ln w="0">
                <a:noFill/>
                <a:prstDash val="solid"/>
              </a:ln>
            </c:spPr>
          </c:marker>
          <c:cat>
            <c:strRef>
              <c:f>Sheet1!$B$1:$C$1</c:f>
              <c:strCache>
                <c:ptCount val="2"/>
                <c:pt idx="0">
                  <c:v>1st</c:v>
                </c:pt>
                <c:pt idx="1">
                  <c:v>2nd</c:v>
                </c:pt>
              </c:strCache>
            </c:strRef>
          </c:cat>
          <c:val>
            <c:numRef>
              <c:f>Sheet1!$B$3:$C$3</c:f>
              <c:numCache>
                <c:formatCode>General</c:formatCode>
                <c:ptCount val="2"/>
                <c:pt idx="0">
                  <c:v>19.29</c:v>
                </c:pt>
                <c:pt idx="1">
                  <c:v>25.82</c:v>
                </c:pt>
              </c:numCache>
            </c:numRef>
          </c:val>
          <c:smooth val="0"/>
        </c:ser>
        <c:dLbls>
          <c:showLegendKey val="0"/>
          <c:showVal val="0"/>
          <c:showCatName val="0"/>
          <c:showSerName val="0"/>
          <c:showPercent val="0"/>
          <c:showBubbleSize val="0"/>
        </c:dLbls>
        <c:marker val="1"/>
        <c:smooth val="0"/>
        <c:axId val="-756609232"/>
        <c:axId val="-756611952"/>
      </c:lineChart>
      <c:catAx>
        <c:axId val="-756609232"/>
        <c:scaling>
          <c:orientation val="minMax"/>
        </c:scaling>
        <c:delete val="0"/>
        <c:axPos val="b"/>
        <c:title>
          <c:tx>
            <c:rich>
              <a:bodyPr/>
              <a:lstStyle/>
              <a:p>
                <a:pPr>
                  <a:defRPr sz="1100" b="0" i="0" u="none" strike="noStrike" baseline="0">
                    <a:solidFill>
                      <a:srgbClr val="000000"/>
                    </a:solidFill>
                    <a:latin typeface="Times New Roman"/>
                    <a:ea typeface="Times New Roman"/>
                    <a:cs typeface="Times New Roman"/>
                  </a:defRPr>
                </a:pPr>
                <a:r>
                  <a:rPr lang="sl-SI"/>
                  <a:t>Assessment</a:t>
                </a:r>
              </a:p>
            </c:rich>
          </c:tx>
          <c:layout>
            <c:manualLayout>
              <c:xMode val="edge"/>
              <c:yMode val="edge"/>
              <c:x val="0.40317331301329268"/>
              <c:y val="0.862762812543169"/>
            </c:manualLayout>
          </c:layout>
          <c:overlay val="0"/>
        </c:title>
        <c:numFmt formatCode="General" sourceLinked="1"/>
        <c:majorTickMark val="none"/>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11952"/>
        <c:crosses val="autoZero"/>
        <c:auto val="1"/>
        <c:lblAlgn val="ctr"/>
        <c:lblOffset val="100"/>
        <c:tickLblSkip val="1"/>
        <c:tickMarkSkip val="1"/>
        <c:noMultiLvlLbl val="0"/>
      </c:catAx>
      <c:valAx>
        <c:axId val="-756611952"/>
        <c:scaling>
          <c:orientation val="minMax"/>
          <c:max val="28"/>
          <c:min val="18"/>
        </c:scaling>
        <c:delete val="0"/>
        <c:axPos val="l"/>
        <c:title>
          <c:tx>
            <c:rich>
              <a:bodyPr/>
              <a:lstStyle/>
              <a:p>
                <a:pPr>
                  <a:defRPr sz="1100" b="0" i="0" u="none" strike="noStrike" baseline="0">
                    <a:solidFill>
                      <a:srgbClr val="000000"/>
                    </a:solidFill>
                    <a:latin typeface="Times New Roman"/>
                    <a:ea typeface="Times New Roman"/>
                    <a:cs typeface="Times New Roman"/>
                  </a:defRPr>
                </a:pPr>
                <a:r>
                  <a:rPr lang="sl-SI"/>
                  <a:t>Force (N)</a:t>
                </a:r>
              </a:p>
            </c:rich>
          </c:tx>
          <c:overlay val="0"/>
        </c:title>
        <c:numFmt formatCode="General" sourceLinked="1"/>
        <c:majorTickMark val="out"/>
        <c:minorTickMark val="none"/>
        <c:tickLblPos val="nextTo"/>
        <c:spPr>
          <a:ln w="3171">
            <a:solidFill>
              <a:srgbClr val="000000"/>
            </a:solidFill>
            <a:prstDash val="solid"/>
          </a:ln>
        </c:spPr>
        <c:txPr>
          <a:bodyPr rot="0" vert="horz"/>
          <a:lstStyle/>
          <a:p>
            <a:pPr>
              <a:defRPr sz="11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l-SI"/>
          </a:p>
        </c:txPr>
        <c:crossAx val="-756609232"/>
        <c:crosses val="autoZero"/>
        <c:crossBetween val="between"/>
        <c:majorUnit val="5"/>
        <c:minorUnit val="0.5"/>
      </c:valAx>
      <c:spPr>
        <a:noFill/>
        <a:ln w="25400">
          <a:noFill/>
        </a:ln>
      </c:spPr>
    </c:plotArea>
    <c:plotVisOnly val="1"/>
    <c:dispBlanksAs val="gap"/>
    <c:showDLblsOverMax val="0"/>
  </c:chart>
  <c:spPr>
    <a:noFill/>
    <a:ln>
      <a:noFill/>
    </a:ln>
  </c:spPr>
  <c:txPr>
    <a:bodyPr/>
    <a:lstStyle/>
    <a:p>
      <a:pPr>
        <a:defRPr sz="575" b="1" i="0" u="none" strike="noStrike" baseline="0">
          <a:solidFill>
            <a:srgbClr val="000000"/>
          </a:solidFill>
          <a:latin typeface="Arial"/>
          <a:ea typeface="Arial"/>
          <a:cs typeface="Arial"/>
        </a:defRPr>
      </a:pPr>
      <a:endParaRPr lang="sl-SI"/>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0.34199</cdr:x>
      <cdr:y>0.21715</cdr:y>
    </cdr:from>
    <cdr:to>
      <cdr:x>0.37913</cdr:x>
      <cdr:y>0.2763</cdr:y>
    </cdr:to>
    <cdr:sp macro="" textlink="">
      <cdr:nvSpPr>
        <cdr:cNvPr id="2" name="5-Point Star 1"/>
        <cdr:cNvSpPr/>
      </cdr:nvSpPr>
      <cdr:spPr>
        <a:xfrm xmlns:a="http://schemas.openxmlformats.org/drawingml/2006/main">
          <a:off x="840420" y="335070"/>
          <a:ext cx="91276" cy="91276"/>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0.79441</cdr:x>
      <cdr:y>0.11956</cdr:y>
    </cdr:from>
    <cdr:to>
      <cdr:x>0.79441</cdr:x>
      <cdr:y>0.27588</cdr:y>
    </cdr:to>
    <cdr:cxnSp macro="">
      <cdr:nvCxnSpPr>
        <cdr:cNvPr id="5" name="Straight Arrow Connector 4"/>
        <cdr:cNvCxnSpPr/>
      </cdr:nvCxnSpPr>
      <cdr:spPr>
        <a:xfrm xmlns:a="http://schemas.openxmlformats.org/drawingml/2006/main" flipV="1">
          <a:off x="1952223" y="184487"/>
          <a:ext cx="0" cy="241209"/>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0.33424</cdr:x>
      <cdr:y>0.08135</cdr:y>
    </cdr:from>
    <cdr:to>
      <cdr:x>0.37138</cdr:x>
      <cdr:y>0.1405</cdr:y>
    </cdr:to>
    <cdr:sp macro="" textlink="">
      <cdr:nvSpPr>
        <cdr:cNvPr id="2" name="5-Point Star 1"/>
        <cdr:cNvSpPr/>
      </cdr:nvSpPr>
      <cdr:spPr>
        <a:xfrm xmlns:a="http://schemas.openxmlformats.org/drawingml/2006/main">
          <a:off x="821373" y="125523"/>
          <a:ext cx="91270"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0.80216</cdr:x>
      <cdr:y>0.57635</cdr:y>
    </cdr:from>
    <cdr:to>
      <cdr:x>0.80216</cdr:x>
      <cdr:y>0.73267</cdr:y>
    </cdr:to>
    <cdr:cxnSp macro="">
      <cdr:nvCxnSpPr>
        <cdr:cNvPr id="5" name="Straight Arrow Connector 4"/>
        <cdr:cNvCxnSpPr/>
      </cdr:nvCxnSpPr>
      <cdr:spPr>
        <a:xfrm xmlns:a="http://schemas.openxmlformats.org/drawingml/2006/main" flipV="1">
          <a:off x="1971273" y="889337"/>
          <a:ext cx="0" cy="241210"/>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0.73346</cdr:x>
      <cdr:y>0.14925</cdr:y>
    </cdr:from>
    <cdr:to>
      <cdr:x>0.7706</cdr:x>
      <cdr:y>0.2084</cdr:y>
    </cdr:to>
    <cdr:sp macro="" textlink="">
      <cdr:nvSpPr>
        <cdr:cNvPr id="4" name="5-Point Star 3"/>
        <cdr:cNvSpPr/>
      </cdr:nvSpPr>
      <cdr:spPr>
        <a:xfrm xmlns:a="http://schemas.openxmlformats.org/drawingml/2006/main">
          <a:off x="1802448" y="230298"/>
          <a:ext cx="91270"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userShapes>
</file>

<file path=word/drawings/drawing3.xml><?xml version="1.0" encoding="utf-8"?>
<c:userShapes xmlns:c="http://schemas.openxmlformats.org/drawingml/2006/chart">
  <cdr:relSizeAnchor xmlns:cdr="http://schemas.openxmlformats.org/drawingml/2006/chartDrawing">
    <cdr:from>
      <cdr:x>0.34199</cdr:x>
      <cdr:y>0.06283</cdr:y>
    </cdr:from>
    <cdr:to>
      <cdr:x>0.37913</cdr:x>
      <cdr:y>0.12198</cdr:y>
    </cdr:to>
    <cdr:sp macro="" textlink="">
      <cdr:nvSpPr>
        <cdr:cNvPr id="2" name="5-Point Star 1"/>
        <cdr:cNvSpPr/>
      </cdr:nvSpPr>
      <cdr:spPr>
        <a:xfrm xmlns:a="http://schemas.openxmlformats.org/drawingml/2006/main">
          <a:off x="840423" y="96948"/>
          <a:ext cx="91270"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0.80216</cdr:x>
      <cdr:y>0.48376</cdr:y>
    </cdr:from>
    <cdr:to>
      <cdr:x>0.80216</cdr:x>
      <cdr:y>0.64008</cdr:y>
    </cdr:to>
    <cdr:cxnSp macro="">
      <cdr:nvCxnSpPr>
        <cdr:cNvPr id="5" name="Straight Arrow Connector 4"/>
        <cdr:cNvCxnSpPr/>
      </cdr:nvCxnSpPr>
      <cdr:spPr>
        <a:xfrm xmlns:a="http://schemas.openxmlformats.org/drawingml/2006/main" flipV="1">
          <a:off x="1971273" y="746462"/>
          <a:ext cx="0" cy="241210"/>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0.73346</cdr:x>
      <cdr:y>0.2295</cdr:y>
    </cdr:from>
    <cdr:to>
      <cdr:x>0.7706</cdr:x>
      <cdr:y>0.28865</cdr:y>
    </cdr:to>
    <cdr:sp macro="" textlink="">
      <cdr:nvSpPr>
        <cdr:cNvPr id="4" name="5-Point Star 3"/>
        <cdr:cNvSpPr/>
      </cdr:nvSpPr>
      <cdr:spPr>
        <a:xfrm xmlns:a="http://schemas.openxmlformats.org/drawingml/2006/main">
          <a:off x="1802448" y="354123"/>
          <a:ext cx="91270"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0.80216</cdr:x>
      <cdr:y>0.23684</cdr:y>
    </cdr:from>
    <cdr:to>
      <cdr:x>0.80216</cdr:x>
      <cdr:y>0.39316</cdr:y>
    </cdr:to>
    <cdr:cxnSp macro="">
      <cdr:nvCxnSpPr>
        <cdr:cNvPr id="6" name="Straight Arrow Connector 5"/>
        <cdr:cNvCxnSpPr/>
      </cdr:nvCxnSpPr>
      <cdr:spPr>
        <a:xfrm xmlns:a="http://schemas.openxmlformats.org/drawingml/2006/main" flipV="1">
          <a:off x="1971273" y="365462"/>
          <a:ext cx="0" cy="241210"/>
        </a:xfrm>
        <a:prstGeom xmlns:a="http://schemas.openxmlformats.org/drawingml/2006/main" prst="straightConnector1">
          <a:avLst/>
        </a:prstGeom>
        <a:ln xmlns:a="http://schemas.openxmlformats.org/drawingml/2006/main">
          <a:solidFill>
            <a:schemeClr val="tx1"/>
          </a:solidFill>
          <a:prstDash val="solid"/>
          <a:headEnd type="stealth"/>
          <a:tailEnd type="non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0.34199</cdr:x>
      <cdr:y>0.03197</cdr:y>
    </cdr:from>
    <cdr:to>
      <cdr:x>0.37913</cdr:x>
      <cdr:y>0.09112</cdr:y>
    </cdr:to>
    <cdr:sp macro="" textlink="">
      <cdr:nvSpPr>
        <cdr:cNvPr id="2" name="5-Point Star 1"/>
        <cdr:cNvSpPr/>
      </cdr:nvSpPr>
      <cdr:spPr>
        <a:xfrm xmlns:a="http://schemas.openxmlformats.org/drawingml/2006/main">
          <a:off x="840423" y="49325"/>
          <a:ext cx="91270" cy="91271"/>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0.79383</cdr:x>
      <cdr:y>0.39531</cdr:y>
    </cdr:from>
    <cdr:to>
      <cdr:x>0.79383</cdr:x>
      <cdr:y>0.55163</cdr:y>
    </cdr:to>
    <cdr:cxnSp macro="">
      <cdr:nvCxnSpPr>
        <cdr:cNvPr id="5" name="Straight Arrow Connector 4"/>
        <cdr:cNvCxnSpPr/>
      </cdr:nvCxnSpPr>
      <cdr:spPr>
        <a:xfrm xmlns:a="http://schemas.openxmlformats.org/drawingml/2006/main" flipV="1">
          <a:off x="1950796" y="609988"/>
          <a:ext cx="0" cy="241209"/>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0.73346</cdr:x>
      <cdr:y>0.14869</cdr:y>
    </cdr:from>
    <cdr:to>
      <cdr:x>0.7706</cdr:x>
      <cdr:y>0.20784</cdr:y>
    </cdr:to>
    <cdr:sp macro="" textlink="">
      <cdr:nvSpPr>
        <cdr:cNvPr id="4" name="5-Point Star 3"/>
        <cdr:cNvSpPr/>
      </cdr:nvSpPr>
      <cdr:spPr>
        <a:xfrm xmlns:a="http://schemas.openxmlformats.org/drawingml/2006/main">
          <a:off x="1802441" y="229439"/>
          <a:ext cx="91270" cy="91271"/>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0.79733</cdr:x>
      <cdr:y>0.19451</cdr:y>
    </cdr:from>
    <cdr:to>
      <cdr:x>0.79733</cdr:x>
      <cdr:y>0.35083</cdr:y>
    </cdr:to>
    <cdr:cxnSp macro="">
      <cdr:nvCxnSpPr>
        <cdr:cNvPr id="6" name="Straight Arrow Connector 5"/>
        <cdr:cNvCxnSpPr/>
      </cdr:nvCxnSpPr>
      <cdr:spPr>
        <a:xfrm xmlns:a="http://schemas.openxmlformats.org/drawingml/2006/main" flipV="1">
          <a:off x="1959393" y="300142"/>
          <a:ext cx="0" cy="241210"/>
        </a:xfrm>
        <a:prstGeom xmlns:a="http://schemas.openxmlformats.org/drawingml/2006/main" prst="straightConnector1">
          <a:avLst/>
        </a:prstGeom>
        <a:ln xmlns:a="http://schemas.openxmlformats.org/drawingml/2006/main">
          <a:solidFill>
            <a:schemeClr val="tx1"/>
          </a:solidFill>
          <a:prstDash val="solid"/>
          <a:headEnd type="stealth"/>
          <a:tailEnd type="non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0.33219</cdr:x>
      <cdr:y>0</cdr:y>
    </cdr:from>
    <cdr:to>
      <cdr:x>0.36933</cdr:x>
      <cdr:y>0.05915</cdr:y>
    </cdr:to>
    <cdr:sp macro="" textlink="">
      <cdr:nvSpPr>
        <cdr:cNvPr id="2" name="5-Point Star 1"/>
        <cdr:cNvSpPr/>
      </cdr:nvSpPr>
      <cdr:spPr>
        <a:xfrm xmlns:a="http://schemas.openxmlformats.org/drawingml/2006/main">
          <a:off x="816339" y="-5434642"/>
          <a:ext cx="91269"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0.79383</cdr:x>
      <cdr:y>0.32014</cdr:y>
    </cdr:from>
    <cdr:to>
      <cdr:x>0.79383</cdr:x>
      <cdr:y>0.47646</cdr:y>
    </cdr:to>
    <cdr:cxnSp macro="">
      <cdr:nvCxnSpPr>
        <cdr:cNvPr id="5" name="Straight Arrow Connector 4"/>
        <cdr:cNvCxnSpPr/>
      </cdr:nvCxnSpPr>
      <cdr:spPr>
        <a:xfrm xmlns:a="http://schemas.openxmlformats.org/drawingml/2006/main" flipV="1">
          <a:off x="1950789" y="493985"/>
          <a:ext cx="0" cy="241209"/>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0.79734</cdr:x>
      <cdr:y>0.07975</cdr:y>
    </cdr:from>
    <cdr:to>
      <cdr:x>0.79734</cdr:x>
      <cdr:y>0.23607</cdr:y>
    </cdr:to>
    <cdr:cxnSp macro="">
      <cdr:nvCxnSpPr>
        <cdr:cNvPr id="4" name="Straight Arrow Connector 3"/>
        <cdr:cNvCxnSpPr/>
      </cdr:nvCxnSpPr>
      <cdr:spPr>
        <a:xfrm xmlns:a="http://schemas.openxmlformats.org/drawingml/2006/main" flipV="1">
          <a:off x="1959425" y="123056"/>
          <a:ext cx="0" cy="241210"/>
        </a:xfrm>
        <a:prstGeom xmlns:a="http://schemas.openxmlformats.org/drawingml/2006/main" prst="straightConnector1">
          <a:avLst/>
        </a:prstGeom>
        <a:ln xmlns:a="http://schemas.openxmlformats.org/drawingml/2006/main">
          <a:solidFill>
            <a:schemeClr val="tx1"/>
          </a:solidFill>
          <a:prstDash val="solid"/>
          <a:headEnd type="stealth"/>
          <a:tailEnd type="non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0.33921</cdr:x>
      <cdr:y>0.13369</cdr:y>
    </cdr:from>
    <cdr:to>
      <cdr:x>0.37635</cdr:x>
      <cdr:y>0.19284</cdr:y>
    </cdr:to>
    <cdr:sp macro="" textlink="">
      <cdr:nvSpPr>
        <cdr:cNvPr id="2" name="5-Point Star 1"/>
        <cdr:cNvSpPr/>
      </cdr:nvSpPr>
      <cdr:spPr>
        <a:xfrm xmlns:a="http://schemas.openxmlformats.org/drawingml/2006/main">
          <a:off x="833592" y="206288"/>
          <a:ext cx="91269"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0.79383</cdr:x>
      <cdr:y>0.32014</cdr:y>
    </cdr:from>
    <cdr:to>
      <cdr:x>0.79383</cdr:x>
      <cdr:y>0.47646</cdr:y>
    </cdr:to>
    <cdr:cxnSp macro="">
      <cdr:nvCxnSpPr>
        <cdr:cNvPr id="5" name="Straight Arrow Connector 4"/>
        <cdr:cNvCxnSpPr/>
      </cdr:nvCxnSpPr>
      <cdr:spPr>
        <a:xfrm xmlns:a="http://schemas.openxmlformats.org/drawingml/2006/main" flipV="1">
          <a:off x="1950789" y="493985"/>
          <a:ext cx="0" cy="241209"/>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0.33921</cdr:x>
      <cdr:y>0.1558</cdr:y>
    </cdr:from>
    <cdr:to>
      <cdr:x>0.37635</cdr:x>
      <cdr:y>0.21495</cdr:y>
    </cdr:to>
    <cdr:sp macro="" textlink="">
      <cdr:nvSpPr>
        <cdr:cNvPr id="2" name="5-Point Star 1"/>
        <cdr:cNvSpPr/>
      </cdr:nvSpPr>
      <cdr:spPr>
        <a:xfrm xmlns:a="http://schemas.openxmlformats.org/drawingml/2006/main">
          <a:off x="833599" y="240400"/>
          <a:ext cx="91270"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0.79105</cdr:x>
      <cdr:y>0.12113</cdr:y>
    </cdr:from>
    <cdr:to>
      <cdr:x>0.79105</cdr:x>
      <cdr:y>0.27745</cdr:y>
    </cdr:to>
    <cdr:cxnSp macro="">
      <cdr:nvCxnSpPr>
        <cdr:cNvPr id="5" name="Straight Arrow Connector 4"/>
        <cdr:cNvCxnSpPr/>
      </cdr:nvCxnSpPr>
      <cdr:spPr>
        <a:xfrm xmlns:a="http://schemas.openxmlformats.org/drawingml/2006/main" flipV="1">
          <a:off x="1943973" y="186908"/>
          <a:ext cx="0" cy="241209"/>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0.33921</cdr:x>
      <cdr:y>0.1558</cdr:y>
    </cdr:from>
    <cdr:to>
      <cdr:x>0.37635</cdr:x>
      <cdr:y>0.21495</cdr:y>
    </cdr:to>
    <cdr:sp macro="" textlink="">
      <cdr:nvSpPr>
        <cdr:cNvPr id="2" name="5-Point Star 1"/>
        <cdr:cNvSpPr/>
      </cdr:nvSpPr>
      <cdr:spPr>
        <a:xfrm xmlns:a="http://schemas.openxmlformats.org/drawingml/2006/main">
          <a:off x="833599" y="240400"/>
          <a:ext cx="91270" cy="91272"/>
        </a:xfrm>
        <a:prstGeom xmlns:a="http://schemas.openxmlformats.org/drawingml/2006/main" prst="star5">
          <a:avLst/>
        </a:prstGeom>
        <a:solidFill xmlns:a="http://schemas.openxmlformats.org/drawingml/2006/main">
          <a:schemeClr val="tx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sl-SI"/>
        </a:p>
      </cdr:txBody>
    </cdr:sp>
  </cdr:relSizeAnchor>
  <cdr:relSizeAnchor xmlns:cdr="http://schemas.openxmlformats.org/drawingml/2006/chartDrawing">
    <cdr:from>
      <cdr:x>0.79105</cdr:x>
      <cdr:y>0.12113</cdr:y>
    </cdr:from>
    <cdr:to>
      <cdr:x>0.79105</cdr:x>
      <cdr:y>0.27745</cdr:y>
    </cdr:to>
    <cdr:cxnSp macro="">
      <cdr:nvCxnSpPr>
        <cdr:cNvPr id="5" name="Straight Arrow Connector 4"/>
        <cdr:cNvCxnSpPr/>
      </cdr:nvCxnSpPr>
      <cdr:spPr>
        <a:xfrm xmlns:a="http://schemas.openxmlformats.org/drawingml/2006/main" flipV="1">
          <a:off x="1943973" y="186908"/>
          <a:ext cx="0" cy="241209"/>
        </a:xfrm>
        <a:prstGeom xmlns:a="http://schemas.openxmlformats.org/drawingml/2006/main" prst="straightConnector1">
          <a:avLst/>
        </a:prstGeom>
        <a:ln xmlns:a="http://schemas.openxmlformats.org/drawingml/2006/main">
          <a:solidFill>
            <a:schemeClr val="tx1"/>
          </a:solidFill>
          <a:prstDash val="dash"/>
          <a:tailEnd type="stealt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641</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Fakulteta za šport</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Bučar Pajek, Maja</dc:creator>
  <cp:keywords/>
  <dc:description/>
  <cp:lastModifiedBy>Bučar Pajek, Maja</cp:lastModifiedBy>
  <cp:revision>2</cp:revision>
  <dcterms:created xsi:type="dcterms:W3CDTF">2017-03-27T17:28:00Z</dcterms:created>
  <dcterms:modified xsi:type="dcterms:W3CDTF">2017-03-27T17:48:00Z</dcterms:modified>
</cp:coreProperties>
</file>